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2D0D46" w14:textId="32D4C2C2" w:rsidR="00A50029" w:rsidRPr="00E24728" w:rsidRDefault="009E3D23" w:rsidP="00A50029">
      <w:pPr>
        <w:rPr>
          <w:sz w:val="20"/>
          <w:szCs w:val="20"/>
        </w:rPr>
      </w:pPr>
      <w:r w:rsidRPr="00E24728">
        <w:rPr>
          <w:b/>
          <w:noProof/>
        </w:rPr>
        <w:drawing>
          <wp:anchor distT="0" distB="0" distL="114300" distR="114300" simplePos="0" relativeHeight="251667456" behindDoc="0" locked="0" layoutInCell="1" allowOverlap="1" wp14:anchorId="361C9C76" wp14:editId="7514F7C8">
            <wp:simplePos x="0" y="0"/>
            <wp:positionH relativeFrom="column">
              <wp:posOffset>5080</wp:posOffset>
            </wp:positionH>
            <wp:positionV relativeFrom="paragraph">
              <wp:posOffset>-118745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0029" w:rsidRPr="00E24728">
        <w:rPr>
          <w:sz w:val="20"/>
          <w:szCs w:val="20"/>
        </w:rPr>
        <w:tab/>
      </w:r>
      <w:r w:rsidR="00A50029" w:rsidRPr="00E24728">
        <w:rPr>
          <w:sz w:val="20"/>
          <w:szCs w:val="20"/>
        </w:rPr>
        <w:tab/>
      </w:r>
      <w:r w:rsidR="00A50029" w:rsidRPr="00E24728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6192" behindDoc="1" locked="0" layoutInCell="1" allowOverlap="1" wp14:anchorId="2F8B141B" wp14:editId="058F16D8">
            <wp:simplePos x="0" y="0"/>
            <wp:positionH relativeFrom="column">
              <wp:posOffset>4336415</wp:posOffset>
            </wp:positionH>
            <wp:positionV relativeFrom="paragraph">
              <wp:posOffset>93980</wp:posOffset>
            </wp:positionV>
            <wp:extent cx="1306195" cy="952500"/>
            <wp:effectExtent l="0" t="0" r="8255" b="0"/>
            <wp:wrapTight wrapText="bothSides">
              <wp:wrapPolygon edited="0">
                <wp:start x="0" y="0"/>
                <wp:lineTo x="0" y="21168"/>
                <wp:lineTo x="21421" y="21168"/>
                <wp:lineTo x="21421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9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631776" w14:textId="77777777" w:rsidR="00A50029" w:rsidRPr="00E24728" w:rsidRDefault="00A50029" w:rsidP="00A50029">
      <w:pPr>
        <w:rPr>
          <w:b/>
          <w:sz w:val="20"/>
          <w:szCs w:val="20"/>
        </w:rPr>
      </w:pPr>
      <w:r w:rsidRPr="00E24728">
        <w:rPr>
          <w:sz w:val="20"/>
          <w:szCs w:val="20"/>
        </w:rPr>
        <w:tab/>
      </w:r>
      <w:r w:rsidRPr="00E24728">
        <w:rPr>
          <w:sz w:val="20"/>
          <w:szCs w:val="20"/>
        </w:rPr>
        <w:tab/>
      </w:r>
      <w:r w:rsidRPr="00E24728">
        <w:rPr>
          <w:sz w:val="20"/>
          <w:szCs w:val="20"/>
        </w:rPr>
        <w:tab/>
        <w:t xml:space="preserve">    </w:t>
      </w:r>
      <w:r w:rsidRPr="00E24728">
        <w:rPr>
          <w:sz w:val="20"/>
          <w:szCs w:val="20"/>
        </w:rPr>
        <w:tab/>
      </w:r>
      <w:r w:rsidRPr="00E24728">
        <w:rPr>
          <w:sz w:val="20"/>
          <w:szCs w:val="20"/>
        </w:rPr>
        <w:tab/>
      </w:r>
      <w:r w:rsidRPr="00E24728">
        <w:rPr>
          <w:sz w:val="20"/>
          <w:szCs w:val="20"/>
        </w:rPr>
        <w:tab/>
      </w:r>
    </w:p>
    <w:p w14:paraId="3187EC53" w14:textId="77777777" w:rsidR="00A50029" w:rsidRPr="00E24728" w:rsidRDefault="00A50029" w:rsidP="00A50029">
      <w:pPr>
        <w:rPr>
          <w:b/>
          <w:sz w:val="20"/>
          <w:szCs w:val="20"/>
        </w:rPr>
      </w:pPr>
    </w:p>
    <w:p w14:paraId="0043C7E9" w14:textId="77777777" w:rsidR="00F034F8" w:rsidRPr="00E24728" w:rsidRDefault="00F034F8" w:rsidP="00A50029">
      <w:pPr>
        <w:ind w:right="6802"/>
        <w:jc w:val="center"/>
        <w:rPr>
          <w:rFonts w:ascii="Arial" w:hAnsi="Arial" w:cs="Arial"/>
          <w:sz w:val="20"/>
          <w:szCs w:val="20"/>
        </w:rPr>
      </w:pPr>
    </w:p>
    <w:p w14:paraId="7E394BD9" w14:textId="77777777" w:rsidR="009E3D23" w:rsidRPr="00E24728" w:rsidRDefault="009E3D23" w:rsidP="00A50029">
      <w:pPr>
        <w:jc w:val="center"/>
        <w:rPr>
          <w:b/>
          <w:sz w:val="40"/>
          <w:szCs w:val="20"/>
        </w:rPr>
      </w:pPr>
    </w:p>
    <w:p w14:paraId="4970348E" w14:textId="77777777" w:rsidR="009E3D23" w:rsidRPr="00E24728" w:rsidRDefault="009E3D23" w:rsidP="009E3D23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24728">
        <w:rPr>
          <w:rFonts w:ascii="Arial" w:hAnsi="Arial" w:cs="Arial"/>
          <w:sz w:val="20"/>
          <w:szCs w:val="20"/>
        </w:rPr>
        <w:t>Európska únia</w:t>
      </w:r>
    </w:p>
    <w:p w14:paraId="709D0978" w14:textId="77777777" w:rsidR="009E3D23" w:rsidRPr="00E24728" w:rsidRDefault="009E3D23" w:rsidP="009E3D23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24728">
        <w:rPr>
          <w:rFonts w:ascii="Arial" w:hAnsi="Arial" w:cs="Arial"/>
          <w:sz w:val="20"/>
          <w:szCs w:val="20"/>
        </w:rPr>
        <w:t>Európsky fond regionálneho</w:t>
      </w:r>
    </w:p>
    <w:p w14:paraId="53813149" w14:textId="77777777" w:rsidR="009E3D23" w:rsidRPr="00E24728" w:rsidRDefault="009E3D23" w:rsidP="009E3D23">
      <w:pPr>
        <w:ind w:right="6802"/>
        <w:jc w:val="center"/>
        <w:rPr>
          <w:b/>
          <w:sz w:val="20"/>
          <w:szCs w:val="20"/>
        </w:rPr>
      </w:pPr>
      <w:r w:rsidRPr="00E24728">
        <w:rPr>
          <w:rFonts w:ascii="Arial" w:hAnsi="Arial" w:cs="Arial"/>
          <w:sz w:val="20"/>
          <w:szCs w:val="20"/>
        </w:rPr>
        <w:t>rozvoja</w:t>
      </w:r>
    </w:p>
    <w:p w14:paraId="4DA9CAA3" w14:textId="77777777" w:rsidR="009E3D23" w:rsidRPr="00E24728" w:rsidRDefault="009E3D23" w:rsidP="00A50029">
      <w:pPr>
        <w:jc w:val="center"/>
        <w:rPr>
          <w:b/>
          <w:sz w:val="40"/>
          <w:szCs w:val="20"/>
        </w:rPr>
      </w:pPr>
    </w:p>
    <w:p w14:paraId="2DA18804" w14:textId="03DD4826" w:rsidR="00C6439D" w:rsidRPr="00E24728" w:rsidRDefault="00D239D4" w:rsidP="00A50029">
      <w:pPr>
        <w:jc w:val="center"/>
        <w:rPr>
          <w:b/>
          <w:sz w:val="40"/>
          <w:szCs w:val="20"/>
        </w:rPr>
      </w:pPr>
      <w:r w:rsidRPr="00E24728">
        <w:rPr>
          <w:b/>
          <w:sz w:val="40"/>
          <w:szCs w:val="20"/>
        </w:rPr>
        <w:t xml:space="preserve">Metodický </w:t>
      </w:r>
      <w:r w:rsidR="00942655" w:rsidRPr="00E24728">
        <w:rPr>
          <w:b/>
          <w:sz w:val="40"/>
          <w:szCs w:val="20"/>
        </w:rPr>
        <w:t>výklad</w:t>
      </w:r>
      <w:r w:rsidR="00D61BB6" w:rsidRPr="00E24728">
        <w:rPr>
          <w:b/>
          <w:sz w:val="40"/>
          <w:szCs w:val="20"/>
        </w:rPr>
        <w:t xml:space="preserve"> </w:t>
      </w:r>
      <w:r w:rsidR="00D61BB6" w:rsidRPr="00E24728">
        <w:rPr>
          <w:b/>
          <w:sz w:val="40"/>
          <w:szCs w:val="40"/>
        </w:rPr>
        <w:t xml:space="preserve">CKO č. </w:t>
      </w:r>
      <w:sdt>
        <w:sdtPr>
          <w:rPr>
            <w:b/>
            <w:sz w:val="40"/>
            <w:szCs w:val="40"/>
          </w:rPr>
          <w:alias w:val="Poradové číslo vzoru"/>
          <w:tag w:val="Poradové číslo vzoru"/>
          <w:id w:val="-123233620"/>
          <w:placeholder>
            <w:docPart w:val="A4219D09901046338368609D5773AFB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B84DA7" w:rsidRPr="00E24728">
            <w:rPr>
              <w:b/>
              <w:sz w:val="40"/>
              <w:szCs w:val="40"/>
            </w:rPr>
            <w:t>9</w:t>
          </w:r>
        </w:sdtContent>
      </w:sdt>
    </w:p>
    <w:p w14:paraId="7BB01942" w14:textId="77777777" w:rsidR="003B0DFE" w:rsidRPr="00E24728" w:rsidRDefault="003B0DFE" w:rsidP="00D61BB6">
      <w:pPr>
        <w:jc w:val="center"/>
        <w:rPr>
          <w:b/>
          <w:sz w:val="20"/>
          <w:szCs w:val="20"/>
        </w:rPr>
      </w:pPr>
    </w:p>
    <w:p w14:paraId="2DC5FDD3" w14:textId="77777777" w:rsidR="00D61BB6" w:rsidRPr="00E24728" w:rsidRDefault="00D61BB6" w:rsidP="00D61BB6">
      <w:pPr>
        <w:jc w:val="center"/>
        <w:rPr>
          <w:b/>
          <w:sz w:val="28"/>
          <w:szCs w:val="20"/>
        </w:rPr>
      </w:pPr>
      <w:r w:rsidRPr="00E24728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FBD4B4" w:themeFill="accent6" w:themeFillTint="66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E24728" w14:paraId="2136F41D" w14:textId="77777777" w:rsidTr="003437EB">
        <w:tc>
          <w:tcPr>
            <w:tcW w:w="2268" w:type="dxa"/>
            <w:shd w:val="clear" w:color="auto" w:fill="FBD4B4" w:themeFill="accent6" w:themeFillTint="66"/>
          </w:tcPr>
          <w:p w14:paraId="1FA76371" w14:textId="77777777" w:rsidR="009836CF" w:rsidRPr="00E24728" w:rsidRDefault="009836CF" w:rsidP="006479DF">
            <w:pPr>
              <w:rPr>
                <w:b/>
                <w:sz w:val="26"/>
                <w:szCs w:val="26"/>
              </w:rPr>
            </w:pPr>
            <w:r w:rsidRPr="00E24728">
              <w:rPr>
                <w:b/>
                <w:sz w:val="26"/>
                <w:szCs w:val="26"/>
              </w:rPr>
              <w:t>Vec:</w:t>
            </w:r>
          </w:p>
          <w:p w14:paraId="739EAD14" w14:textId="77777777" w:rsidR="0084743A" w:rsidRPr="00E24728" w:rsidRDefault="0084743A" w:rsidP="006479DF">
            <w:pPr>
              <w:rPr>
                <w:b/>
                <w:sz w:val="26"/>
                <w:szCs w:val="26"/>
              </w:rPr>
            </w:pPr>
          </w:p>
          <w:p w14:paraId="2962DFF6" w14:textId="77777777" w:rsidR="0084743A" w:rsidRPr="00E24728" w:rsidRDefault="0084743A" w:rsidP="006479DF">
            <w:pPr>
              <w:rPr>
                <w:b/>
                <w:sz w:val="26"/>
                <w:szCs w:val="26"/>
              </w:rPr>
            </w:pPr>
          </w:p>
          <w:p w14:paraId="5136B868" w14:textId="77777777" w:rsidR="0084743A" w:rsidRPr="00E24728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FBD4B4" w:themeFill="accent6" w:themeFillTint="66"/>
          </w:tcPr>
          <w:p w14:paraId="3B4D5808" w14:textId="1D8BE528" w:rsidR="00C55097" w:rsidRPr="00E24728" w:rsidRDefault="000F3900" w:rsidP="00FD0109">
            <w:pPr>
              <w:jc w:val="both"/>
              <w:rPr>
                <w:szCs w:val="20"/>
              </w:rPr>
            </w:pPr>
            <w:r w:rsidRPr="00E24728">
              <w:rPr>
                <w:szCs w:val="20"/>
              </w:rPr>
              <w:t>k</w:t>
            </w:r>
            <w:r w:rsidR="00401FD6" w:rsidRPr="00E24728">
              <w:rPr>
                <w:szCs w:val="20"/>
              </w:rPr>
              <w:t xml:space="preserve"> </w:t>
            </w:r>
            <w:r w:rsidR="00793318" w:rsidRPr="00E24728">
              <w:rPr>
                <w:szCs w:val="20"/>
              </w:rPr>
              <w:t>zákonu</w:t>
            </w:r>
            <w:r w:rsidR="00401FD6" w:rsidRPr="00E24728">
              <w:rPr>
                <w:szCs w:val="20"/>
              </w:rPr>
              <w:t xml:space="preserve"> č.</w:t>
            </w:r>
            <w:r w:rsidR="00793318" w:rsidRPr="00E24728">
              <w:rPr>
                <w:szCs w:val="20"/>
              </w:rPr>
              <w:t xml:space="preserve"> </w:t>
            </w:r>
            <w:r w:rsidR="00280D2B" w:rsidRPr="00E24728">
              <w:rPr>
                <w:szCs w:val="20"/>
              </w:rPr>
              <w:t>461</w:t>
            </w:r>
            <w:r w:rsidR="00793318" w:rsidRPr="00E24728">
              <w:rPr>
                <w:szCs w:val="20"/>
              </w:rPr>
              <w:t>/2019</w:t>
            </w:r>
            <w:r w:rsidR="00FA1B00" w:rsidRPr="00E24728">
              <w:rPr>
                <w:szCs w:val="20"/>
              </w:rPr>
              <w:t xml:space="preserve"> Z. z.</w:t>
            </w:r>
            <w:r w:rsidR="00793318" w:rsidRPr="00E24728">
              <w:rPr>
                <w:szCs w:val="20"/>
              </w:rPr>
              <w:t xml:space="preserve">, </w:t>
            </w:r>
            <w:r w:rsidR="00280D2B" w:rsidRPr="00E24728">
              <w:rPr>
                <w:szCs w:val="20"/>
              </w:rPr>
              <w:t>ktorým sa dopĺňa zákon č. 292/2014 Z. z. o príspevku poskytovanom z európskych štrukturálnych a investičných fondov a o zmene a doplnení niektorých zákonov v znení neskorších predpisov a ktorým sa dopĺňa zákon č. 323/2015 Z. z. o finančných nástrojoch financovaných z európskych štrukturálnych a investičných fondov a o zmene a doplnení niektorých zákonov v znení neskorších predpisov</w:t>
            </w:r>
          </w:p>
        </w:tc>
      </w:tr>
      <w:tr w:rsidR="009836CF" w:rsidRPr="00E24728" w14:paraId="5B190293" w14:textId="77777777" w:rsidTr="003437EB">
        <w:tc>
          <w:tcPr>
            <w:tcW w:w="2268" w:type="dxa"/>
            <w:shd w:val="clear" w:color="auto" w:fill="FBD4B4" w:themeFill="accent6" w:themeFillTint="66"/>
          </w:tcPr>
          <w:p w14:paraId="543FC1C5" w14:textId="77777777" w:rsidR="009836CF" w:rsidRPr="00E24728" w:rsidRDefault="009836CF" w:rsidP="006479DF">
            <w:pPr>
              <w:rPr>
                <w:b/>
                <w:sz w:val="26"/>
                <w:szCs w:val="26"/>
              </w:rPr>
            </w:pPr>
            <w:r w:rsidRPr="00E24728">
              <w:rPr>
                <w:b/>
                <w:sz w:val="26"/>
                <w:szCs w:val="26"/>
              </w:rPr>
              <w:t>Určené pre:</w:t>
            </w:r>
          </w:p>
          <w:p w14:paraId="2CF9761D" w14:textId="77777777" w:rsidR="0084743A" w:rsidRPr="00E24728" w:rsidRDefault="0084743A" w:rsidP="006479DF">
            <w:pPr>
              <w:rPr>
                <w:b/>
                <w:sz w:val="26"/>
                <w:szCs w:val="26"/>
              </w:rPr>
            </w:pPr>
          </w:p>
          <w:p w14:paraId="7934FE50" w14:textId="77777777" w:rsidR="0084743A" w:rsidRPr="00E24728" w:rsidRDefault="0084743A" w:rsidP="006479DF">
            <w:pPr>
              <w:rPr>
                <w:b/>
                <w:sz w:val="26"/>
                <w:szCs w:val="26"/>
              </w:rPr>
            </w:pPr>
          </w:p>
          <w:p w14:paraId="010D43B8" w14:textId="77777777" w:rsidR="0084743A" w:rsidRPr="00E24728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FBD4B4" w:themeFill="accent6" w:themeFillTint="66"/>
          </w:tcPr>
          <w:p w14:paraId="74EB98AC" w14:textId="77777777" w:rsidR="009836CF" w:rsidRPr="00E24728" w:rsidRDefault="005935A0" w:rsidP="006A5157">
            <w:pPr>
              <w:jc w:val="both"/>
              <w:rPr>
                <w:szCs w:val="20"/>
              </w:rPr>
            </w:pPr>
            <w:r w:rsidRPr="00E24728">
              <w:rPr>
                <w:szCs w:val="20"/>
              </w:rPr>
              <w:t>Riadiace orgány</w:t>
            </w:r>
          </w:p>
          <w:p w14:paraId="0D4CEC7C" w14:textId="77777777" w:rsidR="005935A0" w:rsidRPr="00E24728" w:rsidRDefault="005935A0" w:rsidP="006A5157">
            <w:pPr>
              <w:jc w:val="both"/>
              <w:rPr>
                <w:szCs w:val="20"/>
              </w:rPr>
            </w:pPr>
            <w:r w:rsidRPr="00E24728">
              <w:rPr>
                <w:szCs w:val="20"/>
              </w:rPr>
              <w:t>Sprostredkovateľské orgány</w:t>
            </w:r>
          </w:p>
        </w:tc>
      </w:tr>
      <w:tr w:rsidR="009836CF" w:rsidRPr="00E24728" w14:paraId="27BE55F5" w14:textId="77777777" w:rsidTr="003437EB">
        <w:tc>
          <w:tcPr>
            <w:tcW w:w="2268" w:type="dxa"/>
            <w:shd w:val="clear" w:color="auto" w:fill="FBD4B4" w:themeFill="accent6" w:themeFillTint="66"/>
          </w:tcPr>
          <w:p w14:paraId="69849DB6" w14:textId="77777777" w:rsidR="009836CF" w:rsidRPr="00E24728" w:rsidRDefault="00116F61" w:rsidP="006479DF">
            <w:pPr>
              <w:rPr>
                <w:b/>
                <w:sz w:val="26"/>
                <w:szCs w:val="26"/>
              </w:rPr>
            </w:pPr>
            <w:r w:rsidRPr="00E24728">
              <w:rPr>
                <w:b/>
                <w:sz w:val="26"/>
                <w:szCs w:val="26"/>
              </w:rPr>
              <w:t>Na vedomie:</w:t>
            </w:r>
          </w:p>
          <w:p w14:paraId="1FA346EE" w14:textId="77777777" w:rsidR="0084743A" w:rsidRPr="00E24728" w:rsidRDefault="0084743A" w:rsidP="006479DF">
            <w:pPr>
              <w:rPr>
                <w:b/>
                <w:sz w:val="26"/>
                <w:szCs w:val="26"/>
              </w:rPr>
            </w:pPr>
          </w:p>
          <w:p w14:paraId="55E4DCF2" w14:textId="77777777" w:rsidR="0084743A" w:rsidRPr="00E24728" w:rsidRDefault="0084743A" w:rsidP="006479DF">
            <w:pPr>
              <w:rPr>
                <w:b/>
                <w:sz w:val="26"/>
                <w:szCs w:val="26"/>
              </w:rPr>
            </w:pPr>
          </w:p>
          <w:p w14:paraId="47FD0A81" w14:textId="77777777" w:rsidR="0084743A" w:rsidRPr="00E24728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FBD4B4" w:themeFill="accent6" w:themeFillTint="66"/>
          </w:tcPr>
          <w:p w14:paraId="5188C17E" w14:textId="77777777" w:rsidR="009836CF" w:rsidRPr="00E24728" w:rsidRDefault="005935A0" w:rsidP="006A5157">
            <w:pPr>
              <w:jc w:val="both"/>
              <w:rPr>
                <w:szCs w:val="20"/>
              </w:rPr>
            </w:pPr>
            <w:r w:rsidRPr="00E24728">
              <w:rPr>
                <w:szCs w:val="20"/>
              </w:rPr>
              <w:t>Certifikačný orgán</w:t>
            </w:r>
          </w:p>
          <w:p w14:paraId="0673D552" w14:textId="77777777" w:rsidR="005935A0" w:rsidRPr="00E24728" w:rsidRDefault="005935A0" w:rsidP="006A5157">
            <w:pPr>
              <w:jc w:val="both"/>
              <w:rPr>
                <w:szCs w:val="20"/>
              </w:rPr>
            </w:pPr>
            <w:r w:rsidRPr="00E24728">
              <w:rPr>
                <w:szCs w:val="20"/>
              </w:rPr>
              <w:t>Orgán auditu</w:t>
            </w:r>
          </w:p>
          <w:p w14:paraId="24CB5666" w14:textId="77777777" w:rsidR="005935A0" w:rsidRPr="00E24728" w:rsidRDefault="005935A0" w:rsidP="006A5157">
            <w:pPr>
              <w:jc w:val="both"/>
              <w:rPr>
                <w:szCs w:val="20"/>
              </w:rPr>
            </w:pPr>
            <w:r w:rsidRPr="00E24728">
              <w:rPr>
                <w:szCs w:val="20"/>
              </w:rPr>
              <w:t>Gestori horizontálnych princípov</w:t>
            </w:r>
          </w:p>
        </w:tc>
      </w:tr>
      <w:tr w:rsidR="009836CF" w:rsidRPr="00E24728" w14:paraId="163D254E" w14:textId="77777777" w:rsidTr="003437EB">
        <w:tc>
          <w:tcPr>
            <w:tcW w:w="2268" w:type="dxa"/>
            <w:shd w:val="clear" w:color="auto" w:fill="FBD4B4" w:themeFill="accent6" w:themeFillTint="66"/>
          </w:tcPr>
          <w:p w14:paraId="4BF455BF" w14:textId="77777777" w:rsidR="009836CF" w:rsidRPr="00E24728" w:rsidRDefault="00116F61" w:rsidP="006479DF">
            <w:pPr>
              <w:rPr>
                <w:b/>
                <w:sz w:val="26"/>
                <w:szCs w:val="26"/>
              </w:rPr>
            </w:pPr>
            <w:r w:rsidRPr="00E24728">
              <w:rPr>
                <w:b/>
                <w:sz w:val="26"/>
                <w:szCs w:val="26"/>
              </w:rPr>
              <w:t>Vydáva:</w:t>
            </w:r>
          </w:p>
          <w:p w14:paraId="778A4DA2" w14:textId="77777777" w:rsidR="0084743A" w:rsidRPr="00E24728" w:rsidRDefault="0084743A" w:rsidP="006479DF">
            <w:pPr>
              <w:rPr>
                <w:b/>
                <w:sz w:val="16"/>
                <w:szCs w:val="20"/>
              </w:rPr>
            </w:pPr>
          </w:p>
          <w:p w14:paraId="0FD14A79" w14:textId="77777777" w:rsidR="003B0DFE" w:rsidRPr="00E24728" w:rsidRDefault="003B0DFE" w:rsidP="006479DF">
            <w:pPr>
              <w:rPr>
                <w:b/>
                <w:sz w:val="16"/>
                <w:szCs w:val="20"/>
              </w:rPr>
            </w:pPr>
          </w:p>
          <w:p w14:paraId="6B22B8EE" w14:textId="77777777" w:rsidR="003B0DFE" w:rsidRPr="00E24728" w:rsidRDefault="003B0DFE" w:rsidP="006479DF">
            <w:pPr>
              <w:rPr>
                <w:b/>
                <w:sz w:val="16"/>
                <w:szCs w:val="20"/>
              </w:rPr>
            </w:pPr>
          </w:p>
          <w:p w14:paraId="2E1D6C69" w14:textId="77777777" w:rsidR="003B0DFE" w:rsidRPr="00E24728" w:rsidRDefault="003B0DFE" w:rsidP="006479DF">
            <w:pPr>
              <w:rPr>
                <w:b/>
                <w:sz w:val="16"/>
                <w:szCs w:val="20"/>
              </w:rPr>
            </w:pPr>
          </w:p>
          <w:p w14:paraId="39D4CBFD" w14:textId="77777777" w:rsidR="003B0DFE" w:rsidRPr="00E24728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FBD4B4" w:themeFill="accent6" w:themeFillTint="66"/>
          </w:tcPr>
          <w:p w14:paraId="33A28C91" w14:textId="77777777" w:rsidR="009836CF" w:rsidRPr="00E24728" w:rsidRDefault="0084743A" w:rsidP="006A5157">
            <w:pPr>
              <w:jc w:val="both"/>
              <w:rPr>
                <w:szCs w:val="20"/>
              </w:rPr>
            </w:pPr>
            <w:r w:rsidRPr="00E24728">
              <w:rPr>
                <w:szCs w:val="20"/>
              </w:rPr>
              <w:t>Centrálny koordinačný orgán</w:t>
            </w:r>
          </w:p>
          <w:p w14:paraId="7DF7607A" w14:textId="77777777" w:rsidR="00B53B4A" w:rsidRPr="00E24728" w:rsidRDefault="00C9618D" w:rsidP="00942655">
            <w:pPr>
              <w:jc w:val="both"/>
              <w:rPr>
                <w:szCs w:val="20"/>
              </w:rPr>
            </w:pPr>
            <w:r w:rsidRPr="00E24728">
              <w:t>Úrad podpredsedu vlády SR pre investície a informatizáciu</w:t>
            </w:r>
            <w:r w:rsidRPr="00E24728">
              <w:rPr>
                <w:szCs w:val="20"/>
              </w:rPr>
              <w:t xml:space="preserve"> </w:t>
            </w:r>
            <w:r w:rsidR="00B53B4A" w:rsidRPr="00E24728">
              <w:rPr>
                <w:szCs w:val="20"/>
              </w:rPr>
              <w:t xml:space="preserve">v súlade s kapitolou 1.2, ods. 3, písm. </w:t>
            </w:r>
            <w:r w:rsidR="00942655" w:rsidRPr="00E24728">
              <w:rPr>
                <w:szCs w:val="20"/>
              </w:rPr>
              <w:t>c</w:t>
            </w:r>
            <w:r w:rsidR="00B53B4A" w:rsidRPr="00E24728">
              <w:rPr>
                <w:szCs w:val="20"/>
              </w:rPr>
              <w:t xml:space="preserve">) Systému riadenia </w:t>
            </w:r>
            <w:r w:rsidR="003B0DFE" w:rsidRPr="00E24728">
              <w:rPr>
                <w:szCs w:val="20"/>
              </w:rPr>
              <w:t>európskych štrukturálnych a investičných fondov</w:t>
            </w:r>
          </w:p>
        </w:tc>
      </w:tr>
      <w:tr w:rsidR="009836CF" w:rsidRPr="00E24728" w14:paraId="4C6155AA" w14:textId="77777777" w:rsidTr="003437EB">
        <w:tc>
          <w:tcPr>
            <w:tcW w:w="2268" w:type="dxa"/>
            <w:shd w:val="clear" w:color="auto" w:fill="FBD4B4" w:themeFill="accent6" w:themeFillTint="66"/>
          </w:tcPr>
          <w:p w14:paraId="42CCD3EA" w14:textId="77777777" w:rsidR="009836CF" w:rsidRPr="00E24728" w:rsidRDefault="00116F61" w:rsidP="006479DF">
            <w:pPr>
              <w:rPr>
                <w:b/>
                <w:sz w:val="26"/>
                <w:szCs w:val="26"/>
              </w:rPr>
            </w:pPr>
            <w:r w:rsidRPr="00E24728">
              <w:rPr>
                <w:b/>
                <w:sz w:val="26"/>
                <w:szCs w:val="26"/>
              </w:rPr>
              <w:t>Záväznosť:</w:t>
            </w:r>
          </w:p>
          <w:p w14:paraId="46EA82C9" w14:textId="77777777" w:rsidR="0084743A" w:rsidRPr="00E24728" w:rsidRDefault="0084743A" w:rsidP="006479DF">
            <w:pPr>
              <w:rPr>
                <w:b/>
                <w:sz w:val="16"/>
                <w:szCs w:val="16"/>
              </w:rPr>
            </w:pPr>
          </w:p>
          <w:p w14:paraId="2DA83D80" w14:textId="77777777" w:rsidR="003B0DFE" w:rsidRPr="00E24728" w:rsidRDefault="003B0DFE" w:rsidP="006479DF">
            <w:pPr>
              <w:rPr>
                <w:b/>
                <w:sz w:val="16"/>
                <w:szCs w:val="16"/>
              </w:rPr>
            </w:pPr>
          </w:p>
          <w:p w14:paraId="2A4C213B" w14:textId="77777777" w:rsidR="003B0DFE" w:rsidRPr="00E24728" w:rsidRDefault="003B0DFE" w:rsidP="006479DF">
            <w:pPr>
              <w:rPr>
                <w:b/>
                <w:sz w:val="16"/>
                <w:szCs w:val="16"/>
              </w:rPr>
            </w:pPr>
          </w:p>
          <w:p w14:paraId="31DA96B1" w14:textId="77777777" w:rsidR="003B0DFE" w:rsidRPr="00E24728" w:rsidRDefault="003B0DFE" w:rsidP="006479DF">
            <w:pPr>
              <w:rPr>
                <w:b/>
                <w:sz w:val="16"/>
                <w:szCs w:val="16"/>
              </w:rPr>
            </w:pPr>
          </w:p>
          <w:p w14:paraId="29D3CEB5" w14:textId="77777777" w:rsidR="006A5157" w:rsidRPr="00E24728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výklad má záväzný charakter v celom svojom rozsahu." w:value="Metodický výklad má záväzný charakter v celom svojom rozsahu."/>
              <w:listItem w:displayText="Metodický výklad má záväzný charakter v celom rozsahu, ak v jeho texte nie je pri konkrétnom ustanovení uvedené inak." w:value="Metodický výklad má záväzný charakter v celom rozsahu, ak v jeho texte nie je pri konkrétnom ustanovení uvedené inak."/>
              <w:listItem w:displayText="Metodický výklad má odporúčací charakter." w:value="Metodický výklad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FBD4B4" w:themeFill="accent6" w:themeFillTint="66"/>
              </w:tcPr>
              <w:p w14:paraId="3DADB764" w14:textId="77777777" w:rsidR="009836CF" w:rsidRPr="00E24728" w:rsidRDefault="005935A0" w:rsidP="006A5157">
                <w:pPr>
                  <w:jc w:val="both"/>
                  <w:rPr>
                    <w:szCs w:val="20"/>
                  </w:rPr>
                </w:pPr>
                <w:r w:rsidRPr="00E24728">
                  <w:rPr>
                    <w:szCs w:val="20"/>
                  </w:rPr>
                  <w:t>Metodický výklad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E24728" w14:paraId="19415C34" w14:textId="77777777" w:rsidTr="003437EB">
        <w:tc>
          <w:tcPr>
            <w:tcW w:w="2268" w:type="dxa"/>
            <w:shd w:val="clear" w:color="auto" w:fill="FBD4B4" w:themeFill="accent6" w:themeFillTint="66"/>
          </w:tcPr>
          <w:p w14:paraId="4D202888" w14:textId="77777777" w:rsidR="009836CF" w:rsidRPr="00E24728" w:rsidRDefault="009836CF" w:rsidP="006479DF">
            <w:pPr>
              <w:rPr>
                <w:b/>
                <w:sz w:val="26"/>
                <w:szCs w:val="26"/>
              </w:rPr>
            </w:pPr>
            <w:r w:rsidRPr="00E24728">
              <w:rPr>
                <w:b/>
                <w:sz w:val="26"/>
                <w:szCs w:val="26"/>
              </w:rPr>
              <w:t>Počet príloh:</w:t>
            </w:r>
          </w:p>
          <w:p w14:paraId="65BFD813" w14:textId="77777777" w:rsidR="006A5157" w:rsidRPr="00E24728" w:rsidRDefault="006A5157" w:rsidP="006479DF">
            <w:pPr>
              <w:rPr>
                <w:b/>
              </w:rPr>
            </w:pPr>
          </w:p>
          <w:p w14:paraId="0BD1359C" w14:textId="77777777" w:rsidR="003B0DFE" w:rsidRPr="00E24728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FBD4B4" w:themeFill="accent6" w:themeFillTint="66"/>
          </w:tcPr>
          <w:p w14:paraId="740259F1" w14:textId="2953F36C" w:rsidR="009836CF" w:rsidRPr="00E24728" w:rsidRDefault="00125671" w:rsidP="006A5157">
            <w:pPr>
              <w:jc w:val="both"/>
              <w:rPr>
                <w:rStyle w:val="Zstupntext"/>
                <w:rFonts w:eastAsiaTheme="minorHAnsi"/>
              </w:rPr>
            </w:pPr>
            <w:r>
              <w:rPr>
                <w:rStyle w:val="Zstupntext"/>
                <w:rFonts w:eastAsiaTheme="minorHAnsi"/>
                <w:color w:val="auto"/>
              </w:rPr>
              <w:t>2</w:t>
            </w:r>
          </w:p>
        </w:tc>
      </w:tr>
      <w:tr w:rsidR="009836CF" w:rsidRPr="00E24728" w14:paraId="18F8C55D" w14:textId="77777777" w:rsidTr="003437EB">
        <w:tc>
          <w:tcPr>
            <w:tcW w:w="2268" w:type="dxa"/>
            <w:shd w:val="clear" w:color="auto" w:fill="FBD4B4" w:themeFill="accent6" w:themeFillTint="66"/>
          </w:tcPr>
          <w:p w14:paraId="7B7AEEDC" w14:textId="77777777" w:rsidR="009836CF" w:rsidRPr="00E24728" w:rsidRDefault="009836CF" w:rsidP="006479DF">
            <w:pPr>
              <w:rPr>
                <w:b/>
                <w:sz w:val="26"/>
                <w:szCs w:val="26"/>
              </w:rPr>
            </w:pPr>
            <w:r w:rsidRPr="00E24728">
              <w:rPr>
                <w:b/>
                <w:sz w:val="26"/>
                <w:szCs w:val="26"/>
              </w:rPr>
              <w:t>Dátum vydania:</w:t>
            </w:r>
          </w:p>
          <w:p w14:paraId="362A6210" w14:textId="77777777" w:rsidR="006A5157" w:rsidRPr="00E24728" w:rsidRDefault="006A5157" w:rsidP="006479DF">
            <w:pPr>
              <w:rPr>
                <w:b/>
                <w:sz w:val="26"/>
                <w:szCs w:val="26"/>
              </w:rPr>
            </w:pPr>
          </w:p>
          <w:p w14:paraId="1300C845" w14:textId="77777777" w:rsidR="003B0DFE" w:rsidRPr="00E24728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8B949C02102C48BB806712B08BA79ACC"/>
            </w:placeholder>
            <w:date w:fullDate="2020-01-27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FBD4B4" w:themeFill="accent6" w:themeFillTint="66"/>
              </w:tcPr>
              <w:p w14:paraId="200FCB58" w14:textId="160747DE" w:rsidR="009836CF" w:rsidRPr="00E24728" w:rsidRDefault="00A367CC" w:rsidP="00D11DB0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27.01.2020</w:t>
                </w:r>
              </w:p>
            </w:tc>
          </w:sdtContent>
        </w:sdt>
      </w:tr>
      <w:tr w:rsidR="009836CF" w:rsidRPr="00E24728" w14:paraId="3877DAF2" w14:textId="77777777" w:rsidTr="003437EB">
        <w:tc>
          <w:tcPr>
            <w:tcW w:w="2268" w:type="dxa"/>
            <w:shd w:val="clear" w:color="auto" w:fill="FBD4B4" w:themeFill="accent6" w:themeFillTint="66"/>
          </w:tcPr>
          <w:p w14:paraId="1AB844D3" w14:textId="77777777" w:rsidR="009836CF" w:rsidRPr="00E24728" w:rsidRDefault="009836CF" w:rsidP="006479DF">
            <w:pPr>
              <w:rPr>
                <w:b/>
                <w:sz w:val="26"/>
                <w:szCs w:val="26"/>
              </w:rPr>
            </w:pPr>
            <w:r w:rsidRPr="00E24728">
              <w:rPr>
                <w:b/>
                <w:sz w:val="26"/>
                <w:szCs w:val="26"/>
              </w:rPr>
              <w:t>Dátum účinnosti:</w:t>
            </w:r>
          </w:p>
          <w:p w14:paraId="2A35036F" w14:textId="77777777" w:rsidR="006A5157" w:rsidRPr="00E24728" w:rsidRDefault="006A5157" w:rsidP="006479DF">
            <w:pPr>
              <w:rPr>
                <w:b/>
                <w:sz w:val="26"/>
                <w:szCs w:val="26"/>
              </w:rPr>
            </w:pPr>
          </w:p>
          <w:p w14:paraId="4ED17651" w14:textId="77777777" w:rsidR="003B0DFE" w:rsidRPr="00E24728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A9F731F61A7042F186F5DB555D917909"/>
            </w:placeholder>
            <w:date w:fullDate="2020-01-27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FBD4B4" w:themeFill="accent6" w:themeFillTint="66"/>
              </w:tcPr>
              <w:p w14:paraId="54B4D5B8" w14:textId="5BE817F4" w:rsidR="009836CF" w:rsidRPr="00E24728" w:rsidRDefault="00A367CC" w:rsidP="00D11DB0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27.01.2020</w:t>
                </w:r>
              </w:p>
            </w:tc>
          </w:sdtContent>
        </w:sdt>
      </w:tr>
      <w:tr w:rsidR="009836CF" w:rsidRPr="00E24728" w14:paraId="78798BE1" w14:textId="77777777" w:rsidTr="003437EB">
        <w:tc>
          <w:tcPr>
            <w:tcW w:w="2268" w:type="dxa"/>
            <w:shd w:val="clear" w:color="auto" w:fill="FBD4B4" w:themeFill="accent6" w:themeFillTint="66"/>
          </w:tcPr>
          <w:p w14:paraId="69174D5A" w14:textId="77777777" w:rsidR="009836CF" w:rsidRPr="00E24728" w:rsidRDefault="009836CF" w:rsidP="006479DF">
            <w:pPr>
              <w:rPr>
                <w:b/>
                <w:sz w:val="26"/>
                <w:szCs w:val="26"/>
              </w:rPr>
            </w:pPr>
            <w:r w:rsidRPr="00E24728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FBD4B4" w:themeFill="accent6" w:themeFillTint="66"/>
          </w:tcPr>
          <w:p w14:paraId="3DFF74ED" w14:textId="77777777" w:rsidR="00C9618D" w:rsidRPr="00E24728" w:rsidRDefault="00BC14B8" w:rsidP="00C9618D">
            <w:pPr>
              <w:jc w:val="both"/>
            </w:pPr>
            <w:r w:rsidRPr="00E24728">
              <w:t>JUDr. Denisa Žiláková</w:t>
            </w:r>
          </w:p>
          <w:p w14:paraId="0C356BE9" w14:textId="77777777" w:rsidR="00C214B6" w:rsidRPr="00E24728" w:rsidRDefault="00BC14B8" w:rsidP="00DD4310">
            <w:pPr>
              <w:jc w:val="both"/>
              <w:rPr>
                <w:szCs w:val="20"/>
              </w:rPr>
            </w:pPr>
            <w:r w:rsidRPr="00E24728">
              <w:t>generálna riaditeľka sekcie centrálny koordinačný orgán</w:t>
            </w:r>
          </w:p>
        </w:tc>
      </w:tr>
    </w:tbl>
    <w:p w14:paraId="69F82674" w14:textId="77777777" w:rsidR="00D61BB6" w:rsidRPr="00E24728" w:rsidRDefault="00D61BB6" w:rsidP="006479DF">
      <w:pPr>
        <w:rPr>
          <w:sz w:val="20"/>
          <w:szCs w:val="20"/>
        </w:rPr>
      </w:pPr>
    </w:p>
    <w:bookmarkStart w:id="0" w:name="_Toc404872045" w:displacedByCustomXml="next"/>
    <w:bookmarkStart w:id="1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14:paraId="6FE829BF" w14:textId="11ACAFD2" w:rsidR="00460F75" w:rsidRPr="00E24728" w:rsidRDefault="00460F75" w:rsidP="00F57292">
          <w:pPr>
            <w:pStyle w:val="Hlavikaobsahu"/>
            <w:tabs>
              <w:tab w:val="left" w:pos="8258"/>
            </w:tabs>
          </w:pPr>
          <w:r w:rsidRPr="00E24728">
            <w:t>Obsah</w:t>
          </w:r>
          <w:r w:rsidR="00F57292" w:rsidRPr="00E24728">
            <w:tab/>
          </w:r>
        </w:p>
        <w:p w14:paraId="38967D06" w14:textId="77777777" w:rsidR="00460F75" w:rsidRPr="00E24728" w:rsidRDefault="00460F75" w:rsidP="00460F75"/>
        <w:p w14:paraId="07F73FEB" w14:textId="006E61C5" w:rsidR="00CC38FB" w:rsidRDefault="00460F75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E24728">
            <w:fldChar w:fldCharType="begin"/>
          </w:r>
          <w:r w:rsidRPr="00E24728">
            <w:instrText xml:space="preserve"> TOC \o "1-5" \h \z \u </w:instrText>
          </w:r>
          <w:r w:rsidRPr="00E24728">
            <w:fldChar w:fldCharType="separate"/>
          </w:r>
          <w:hyperlink w:anchor="_Toc31042594" w:history="1">
            <w:r w:rsidR="00CC38FB" w:rsidRPr="003A040B">
              <w:rPr>
                <w:rStyle w:val="Hypertextovprepojenie"/>
                <w:noProof/>
              </w:rPr>
              <w:t xml:space="preserve">1 </w:t>
            </w:r>
            <w:r w:rsidR="00CC38F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C38FB" w:rsidRPr="003A040B">
              <w:rPr>
                <w:rStyle w:val="Hypertextovprepojenie"/>
                <w:noProof/>
              </w:rPr>
              <w:t>Úvod</w:t>
            </w:r>
            <w:r w:rsidR="00CC38FB">
              <w:rPr>
                <w:noProof/>
                <w:webHidden/>
              </w:rPr>
              <w:tab/>
            </w:r>
            <w:r w:rsidR="00CC38FB">
              <w:rPr>
                <w:noProof/>
                <w:webHidden/>
              </w:rPr>
              <w:fldChar w:fldCharType="begin"/>
            </w:r>
            <w:r w:rsidR="00CC38FB">
              <w:rPr>
                <w:noProof/>
                <w:webHidden/>
              </w:rPr>
              <w:instrText xml:space="preserve"> PAGEREF _Toc31042594 \h </w:instrText>
            </w:r>
            <w:r w:rsidR="00CC38FB">
              <w:rPr>
                <w:noProof/>
                <w:webHidden/>
              </w:rPr>
            </w:r>
            <w:r w:rsidR="00CC38FB">
              <w:rPr>
                <w:noProof/>
                <w:webHidden/>
              </w:rPr>
              <w:fldChar w:fldCharType="separate"/>
            </w:r>
            <w:r w:rsidR="00CC38FB">
              <w:rPr>
                <w:noProof/>
                <w:webHidden/>
              </w:rPr>
              <w:t>1</w:t>
            </w:r>
            <w:r w:rsidR="00CC38FB">
              <w:rPr>
                <w:noProof/>
                <w:webHidden/>
              </w:rPr>
              <w:fldChar w:fldCharType="end"/>
            </w:r>
          </w:hyperlink>
        </w:p>
        <w:p w14:paraId="335BC994" w14:textId="7D9B4AE7" w:rsidR="00CC38FB" w:rsidRDefault="00CC38FB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1042595" w:history="1">
            <w:r w:rsidRPr="003A040B">
              <w:rPr>
                <w:rStyle w:val="Hypertextovprepojenie"/>
                <w:noProof/>
              </w:rPr>
              <w:t xml:space="preserve">2 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A040B">
              <w:rPr>
                <w:rStyle w:val="Hypertextovprepojenie"/>
                <w:noProof/>
              </w:rPr>
              <w:t>Základné pravidlá týkajúce sa zlúčenia operačných programov a vysvetlenie niektorých pojmov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_Toc31042595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50F6E0" w14:textId="1AE31AFA" w:rsidR="00CC38FB" w:rsidRDefault="00CC38FB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1042596" w:history="1">
            <w:r w:rsidRPr="003A040B">
              <w:rPr>
                <w:rStyle w:val="Hypertextovprepojenie"/>
                <w:noProof/>
              </w:rPr>
              <w:t xml:space="preserve">3 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A040B">
              <w:rPr>
                <w:rStyle w:val="Hypertextovprepojenie"/>
                <w:noProof/>
              </w:rPr>
              <w:t>Implementácia po zlúčení operačných programov vo veciach, ktoré sú nové (t. j. neexi</w:t>
            </w:r>
            <w:bookmarkStart w:id="2" w:name="_GoBack"/>
            <w:bookmarkEnd w:id="2"/>
            <w:r w:rsidRPr="003A040B">
              <w:rPr>
                <w:rStyle w:val="Hypertextovprepojenie"/>
                <w:noProof/>
              </w:rPr>
              <w:t>stovali pred zlúčením operačných programov)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_Toc31042596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1BCD7C" w14:textId="271E7159" w:rsidR="00CC38FB" w:rsidRDefault="00CC38FB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1042597" w:history="1">
            <w:r w:rsidRPr="003A040B">
              <w:rPr>
                <w:rStyle w:val="Hypertextovprepojenie"/>
                <w:noProof/>
              </w:rPr>
              <w:t xml:space="preserve">4 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A040B">
              <w:rPr>
                <w:rStyle w:val="Hypertextovprepojenie"/>
                <w:noProof/>
              </w:rPr>
              <w:t>Implementácia vo veciach, ktoré začali pred účinnosťou zlúčenia operačných programov a dokončujú sa po účinnosti zákona č. 461/2019 Z. z.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_Toc31042597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A6ED48" w14:textId="285733B2" w:rsidR="00CC38FB" w:rsidRDefault="00CC38FB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1042598" w:history="1">
            <w:r w:rsidRPr="003A040B">
              <w:rPr>
                <w:rStyle w:val="Hypertextovprepojenie"/>
                <w:noProof/>
              </w:rPr>
              <w:t xml:space="preserve">6 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A040B">
              <w:rPr>
                <w:rStyle w:val="Hypertextovprepojenie"/>
                <w:noProof/>
              </w:rPr>
              <w:t>Úprava vzorov CKO vydávaných k Systému riadenia európskych štrukturálnych a investičných fondov.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_Toc31042598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E9B7D4" w14:textId="3C3CB475" w:rsidR="00CC38FB" w:rsidRDefault="00CC38FB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1042599" w:history="1">
            <w:r w:rsidRPr="003A040B">
              <w:rPr>
                <w:rStyle w:val="Hypertextovprepojenie"/>
                <w:noProof/>
              </w:rPr>
              <w:t xml:space="preserve">7 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A040B">
              <w:rPr>
                <w:rStyle w:val="Hypertextovprepojenie"/>
                <w:noProof/>
              </w:rPr>
              <w:t>Príklady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_Toc31042599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3DFD3C" w14:textId="7219600B" w:rsidR="00CC38FB" w:rsidRDefault="00CC38FB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1042600" w:history="1">
            <w:r w:rsidRPr="003A040B">
              <w:rPr>
                <w:rStyle w:val="Hypertextovprepojenie"/>
                <w:noProof/>
              </w:rPr>
              <w:t xml:space="preserve">8 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A040B">
              <w:rPr>
                <w:rStyle w:val="Hypertextovprepojenie"/>
                <w:noProof/>
              </w:rPr>
              <w:t>ITMS2014+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_Toc31042600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28A9A2" w14:textId="3D195814" w:rsidR="00CC38FB" w:rsidRDefault="00CC38FB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1042601" w:history="1">
            <w:r w:rsidRPr="003A040B">
              <w:rPr>
                <w:rStyle w:val="Hypertextovprepojenie"/>
                <w:noProof/>
              </w:rPr>
              <w:t xml:space="preserve">9 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A040B">
              <w:rPr>
                <w:rStyle w:val="Hypertextovprepojenie"/>
                <w:noProof/>
              </w:rPr>
              <w:t>Prílohy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_Toc31042601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38CA86" w14:textId="1AAA07BB" w:rsidR="00460F75" w:rsidRPr="00E24728" w:rsidRDefault="00460F75">
          <w:r w:rsidRPr="00E24728">
            <w:fldChar w:fldCharType="end"/>
          </w:r>
        </w:p>
      </w:sdtContent>
    </w:sdt>
    <w:p w14:paraId="02BE3AB8" w14:textId="77777777" w:rsidR="007A0A10" w:rsidRPr="00E24728" w:rsidRDefault="00850467" w:rsidP="00280D2B">
      <w:pPr>
        <w:pStyle w:val="MPCKO1"/>
        <w:tabs>
          <w:tab w:val="left" w:pos="567"/>
        </w:tabs>
        <w:ind w:left="567" w:hanging="567"/>
      </w:pPr>
      <w:bookmarkStart w:id="3" w:name="_Toc31042594"/>
      <w:r w:rsidRPr="00E24728">
        <w:t xml:space="preserve">1 </w:t>
      </w:r>
      <w:r w:rsidR="00D728D9" w:rsidRPr="00E24728">
        <w:tab/>
      </w:r>
      <w:r w:rsidRPr="00E24728">
        <w:t>Úvod</w:t>
      </w:r>
      <w:bookmarkEnd w:id="1"/>
      <w:bookmarkEnd w:id="0"/>
      <w:bookmarkEnd w:id="3"/>
    </w:p>
    <w:p w14:paraId="5E0A00C5" w14:textId="3DFE8D5D" w:rsidR="00280D2B" w:rsidRPr="00E24728" w:rsidRDefault="00280D2B" w:rsidP="00366198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 w:rsidRPr="00E24728">
        <w:t xml:space="preserve">Dňa 27.12.2019 bol pod číslom 461/2019 Z. z. zverejnený zákon, ktorým sa mení a dopĺňa zák. č. 292/2014 Z. z. o príspevku poskytovanom z európskych štrukturálnych a investičných fondov a o zmene a doplnení niektorých zákonov v znení neskorších predpisov (ďalej len „zákon o príspevku z EŠIF“) </w:t>
      </w:r>
      <w:r w:rsidR="00C427F7">
        <w:t xml:space="preserve">a ktorým sa dopĺňa zákon č. 323/2015 Z. z. o finančných nástrojoch financovaných z </w:t>
      </w:r>
      <w:r w:rsidR="00C427F7" w:rsidRPr="00E24728">
        <w:t xml:space="preserve">európskych štrukturálnych a investičných fondov a o zmene a doplnení niektorých zákonov v znení neskorších predpisov </w:t>
      </w:r>
      <w:r w:rsidR="00C427F7" w:rsidRPr="00E24728">
        <w:t xml:space="preserve">(ďalej len </w:t>
      </w:r>
      <w:r w:rsidR="00C427F7">
        <w:t>„zákon</w:t>
      </w:r>
      <w:r w:rsidR="00C427F7" w:rsidRPr="00E24728">
        <w:t xml:space="preserve"> č. 461/2019 Z. z.“)</w:t>
      </w:r>
      <w:r w:rsidR="00C427F7">
        <w:t xml:space="preserve"> </w:t>
      </w:r>
      <w:r w:rsidRPr="00E24728">
        <w:t>s účinnosťou odo dňa vyhlásenia, t.</w:t>
      </w:r>
      <w:r w:rsidR="00784EF7">
        <w:t xml:space="preserve"> </w:t>
      </w:r>
      <w:r w:rsidRPr="00E24728">
        <w:t>j. od 27.12.2019.</w:t>
      </w:r>
    </w:p>
    <w:p w14:paraId="40CC7D27" w14:textId="795B5CC3" w:rsidR="00280D2B" w:rsidRPr="00E24728" w:rsidRDefault="00280D2B" w:rsidP="00366198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 w:rsidRPr="00E24728">
        <w:t>Podľa § 55 zákona o príspevku z EŠIF sa tento zákon vzťahuje aj na zlúčenie operačných programov, ktoré nastalo pred nadobudnutím účinnosti zákona č. 461/2019 Z. z.</w:t>
      </w:r>
      <w:r w:rsidR="00230080">
        <w:t xml:space="preserve"> </w:t>
      </w:r>
    </w:p>
    <w:p w14:paraId="7FEA171B" w14:textId="3AD23164" w:rsidR="00280D2B" w:rsidRPr="00E24728" w:rsidRDefault="00280D2B" w:rsidP="00366198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 w:rsidRPr="00E24728">
        <w:t>Zlúčenie operačných programov je v zákone o príspevku z EŠIF s účinnosťou od 27.12.2019 upravené vo všeobecnosti, t.</w:t>
      </w:r>
      <w:r w:rsidR="00784EF7">
        <w:t xml:space="preserve"> </w:t>
      </w:r>
      <w:r w:rsidRPr="00E24728">
        <w:t xml:space="preserve">j. bez zreteľa na zlučovanie konkrétnych operačných programov. Keďže v skutočnosti došlo v súbežnom procese k faktickému zlúčeniu operačného programu Výskum a inovácie do operačného programu Integrovaná infraštruktúra a z tohto procesu vznikli a stále vznikajú otázky, ktoré je vhodné alebo potrebné metodicky riešiť, tento výklad reaguje nielen na ostatnú novelu zákona o príspevku z EŠIF a venuje sa všeobecným otázkam k zlúčeniu operačných programov, ale túto všeobecnú rovinu prepája aj s riešením praktických implementačných otázok v súvislosti so zlúčením operačného programu Výskum a inovácie do operačného programu Integrovaná infraštruktúra. </w:t>
      </w:r>
    </w:p>
    <w:p w14:paraId="5285741F" w14:textId="77777777" w:rsidR="00280D2B" w:rsidRPr="00E24728" w:rsidRDefault="00280D2B" w:rsidP="00366198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 w:rsidRPr="00E24728">
        <w:t xml:space="preserve">Dňa 12.12.2019 bolo Slovenskej republike doručené vykonávacie rozhodnutie Európskej komisie, ktorým schvaľuje zmeny operačného programu „Integrovaná infraštruktúra“ (ďalej ako „OP II“) a operačného programu „Výskum a inovácie“ (ďalej ako „OP VaI“) tak, že sa v dôsledku týchto zmien začleňuje OP VaI do OP II ako nové prioritné osi 9 až 13 OP II, pričom podľa rozhodnutia „jeho obsah a finančné prostriedky zostávajú </w:t>
      </w:r>
      <w:r w:rsidRPr="00E24728">
        <w:lastRenderedPageBreak/>
        <w:t xml:space="preserve">nezmenené po začlenení prioritných osí“ a tiež „Výdavky, ktoré boli oprávnené v rámci OP VaI, sú naďalej oprávnenými výdavkami v rámci OP II od 1. januára 2014 v rámci prioritných osí 9 až 13.“. </w:t>
      </w:r>
    </w:p>
    <w:p w14:paraId="64C4B947" w14:textId="58D99264" w:rsidR="00280D2B" w:rsidRPr="00123E86" w:rsidRDefault="00280D2B" w:rsidP="00366198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 w:rsidRPr="00123E86">
        <w:t xml:space="preserve">Zlúčenie OP VaI do OP II je </w:t>
      </w:r>
      <w:r w:rsidR="00123E86" w:rsidRPr="00123E86">
        <w:t>na základe vykonávacie</w:t>
      </w:r>
      <w:r w:rsidR="00123E86">
        <w:t>ho</w:t>
      </w:r>
      <w:r w:rsidR="00123E86" w:rsidRPr="00123E86">
        <w:t xml:space="preserve"> rozhodnuti</w:t>
      </w:r>
      <w:r w:rsidR="00123E86">
        <w:t>a</w:t>
      </w:r>
      <w:r w:rsidR="00123E86" w:rsidRPr="00123E86">
        <w:t xml:space="preserve"> Európskej komisie </w:t>
      </w:r>
      <w:r w:rsidRPr="00123E86">
        <w:t xml:space="preserve">účinné od 13.12.2019 a v plnej miere sa naň vzťahuje právna úprava zlúčenia operačných programov obsiahnutá v zákone o príspevku z EŠIF v zmysle jeho novely zákonom </w:t>
      </w:r>
      <w:r w:rsidR="00230080">
        <w:br/>
      </w:r>
      <w:r w:rsidRPr="00123E86">
        <w:t>č. 461/2019 Z. z.</w:t>
      </w:r>
    </w:p>
    <w:p w14:paraId="6A04C7D6" w14:textId="3AB60DF1" w:rsidR="00280D2B" w:rsidRPr="00942092" w:rsidRDefault="00280D2B" w:rsidP="00366198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 w:rsidRPr="00E24728">
        <w:t xml:space="preserve">Uznesením vlády </w:t>
      </w:r>
      <w:r w:rsidR="00C427F7">
        <w:t xml:space="preserve">SR </w:t>
      </w:r>
      <w:r w:rsidRPr="00E24728">
        <w:t>č. 522 z 23. októbra 2019 boli určené Ministerstvo</w:t>
      </w:r>
      <w:r w:rsidR="00125671">
        <w:t xml:space="preserve"> školstva,</w:t>
      </w:r>
      <w:r w:rsidRPr="00E24728">
        <w:t xml:space="preserve"> vedy, výskumu a športu SR a Ministerstvo hospodárstva SR ako sprostredkovateľské orgány pre OP II (ďalej ako „UV 522/2019“)</w:t>
      </w:r>
      <w:r w:rsidR="00942092">
        <w:t xml:space="preserve"> ku dňu 13.</w:t>
      </w:r>
      <w:r w:rsidR="00741DC2">
        <w:t>12</w:t>
      </w:r>
      <w:r w:rsidR="00942092">
        <w:t>.20</w:t>
      </w:r>
      <w:r w:rsidR="00382C16">
        <w:t>1</w:t>
      </w:r>
      <w:r w:rsidR="00942092">
        <w:t xml:space="preserve">9 (v nadväznosti na </w:t>
      </w:r>
      <w:r w:rsidR="00942092" w:rsidRPr="00123E86">
        <w:t>vykonávacie rozhodnuti</w:t>
      </w:r>
      <w:r w:rsidR="00942092">
        <w:t>e</w:t>
      </w:r>
      <w:r w:rsidR="00942092" w:rsidRPr="00123E86">
        <w:t xml:space="preserve"> Európskej komisie</w:t>
      </w:r>
      <w:r w:rsidR="00942092">
        <w:t>)</w:t>
      </w:r>
      <w:r w:rsidR="00942092" w:rsidRPr="00123E86">
        <w:t xml:space="preserve"> </w:t>
      </w:r>
      <w:r w:rsidRPr="00942092">
        <w:t>.</w:t>
      </w:r>
    </w:p>
    <w:p w14:paraId="4349DC9E" w14:textId="3F0EA7F2" w:rsidR="0099324D" w:rsidRPr="00E24728" w:rsidRDefault="00280D2B" w:rsidP="00366198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 w:rsidRPr="00E24728">
        <w:t>Týmto metodickým výkladom sa reaguje na tri základné situácie, ktoré v súvislosti s</w:t>
      </w:r>
      <w:r w:rsidR="00041BE8">
        <w:t>o</w:t>
      </w:r>
      <w:r w:rsidRPr="00E24728">
        <w:t> zlúčením operačných programov môžu nastať a ktoré aj v skutočnosti nastali v súvislosti so zlúčením OP VaI do OP II, a to:</w:t>
      </w:r>
    </w:p>
    <w:p w14:paraId="29C8F576" w14:textId="77777777" w:rsidR="00280D2B" w:rsidRPr="00E24728" w:rsidRDefault="00280D2B" w:rsidP="00366198">
      <w:pPr>
        <w:pStyle w:val="SRKNorm"/>
        <w:numPr>
          <w:ilvl w:val="0"/>
          <w:numId w:val="2"/>
        </w:numPr>
        <w:spacing w:before="120" w:after="120"/>
        <w:ind w:left="851" w:hanging="425"/>
        <w:contextualSpacing w:val="0"/>
      </w:pPr>
      <w:r w:rsidRPr="00E24728">
        <w:t>implementácia po zlúčení operačných programov vo veciach, ktoré sú nové a ktoré neexistovali pred zlúčením operačných programov – úprava obsiahnutá v tomto metodickom výklade má všeobecnú povahu,</w:t>
      </w:r>
    </w:p>
    <w:p w14:paraId="1D7D861D" w14:textId="77777777" w:rsidR="00280D2B" w:rsidRPr="00E24728" w:rsidRDefault="00280D2B" w:rsidP="00366198">
      <w:pPr>
        <w:pStyle w:val="SRKNorm"/>
        <w:numPr>
          <w:ilvl w:val="0"/>
          <w:numId w:val="2"/>
        </w:numPr>
        <w:spacing w:before="120" w:after="120"/>
        <w:ind w:left="851" w:hanging="425"/>
        <w:contextualSpacing w:val="0"/>
      </w:pPr>
      <w:r w:rsidRPr="00E24728">
        <w:t>implementácia vo veciach, ktoré začali pred účinnosťou zlúčenia a dokončujú sa  po účinnosti zákona č. 461/2019 Z. z. – úprava obsiahnutá v tomto metodickom výklade má všeobecnú povahu a do istej miery reaguje aj na zlúčenie OP VaI do OP II a</w:t>
      </w:r>
    </w:p>
    <w:p w14:paraId="738EBCA1" w14:textId="2E0CD1C1" w:rsidR="00280D2B" w:rsidRPr="00E24728" w:rsidRDefault="00280D2B" w:rsidP="00366198">
      <w:pPr>
        <w:pStyle w:val="SRKNorm"/>
        <w:numPr>
          <w:ilvl w:val="0"/>
          <w:numId w:val="2"/>
        </w:numPr>
        <w:spacing w:before="120" w:after="120"/>
        <w:ind w:left="851" w:hanging="425"/>
        <w:contextualSpacing w:val="0"/>
      </w:pPr>
      <w:r w:rsidRPr="00E24728">
        <w:t>implementácia vo veciach, ktoré začali pred účinnosťou zlúčenia a boli realizované v tzv. medziobdobí medzi účinnosťou zlúčenia OP VaI do OP II</w:t>
      </w:r>
      <w:r w:rsidR="007B7415">
        <w:t xml:space="preserve"> </w:t>
      </w:r>
      <w:r w:rsidR="007B7415" w:rsidRPr="00123E86">
        <w:t>na základe vykonávacie</w:t>
      </w:r>
      <w:r w:rsidR="007B7415">
        <w:t>ho</w:t>
      </w:r>
      <w:r w:rsidR="007B7415" w:rsidRPr="00123E86">
        <w:t xml:space="preserve"> rozhodnuti</w:t>
      </w:r>
      <w:r w:rsidR="007B7415">
        <w:t>a</w:t>
      </w:r>
      <w:r w:rsidR="007B7415" w:rsidRPr="00123E86">
        <w:t xml:space="preserve"> Európskej komisie</w:t>
      </w:r>
      <w:r w:rsidR="00CF53C2">
        <w:t xml:space="preserve"> dňa 13.12.2019 </w:t>
      </w:r>
      <w:r w:rsidRPr="00E24728">
        <w:t>a nadobudnutím účinnosti zákona č. 461/2019 Z. z.</w:t>
      </w:r>
      <w:r w:rsidR="00CF53C2">
        <w:t xml:space="preserve"> dňa 27.12.2019 </w:t>
      </w:r>
      <w:r w:rsidRPr="00E24728">
        <w:t>– úprava v tejto časti má špecifickú povahu, pretože z podstaty veci je viazaná len na zlúčenie OP VaI do OP II; ak boli dané úkony riešené priebežne aj naďalej, t.</w:t>
      </w:r>
      <w:r w:rsidR="00784EF7">
        <w:t xml:space="preserve"> </w:t>
      </w:r>
      <w:r w:rsidRPr="00E24728">
        <w:t>j. po účinnosti zák. č. 461/2019 Z. z., potom sa na ich režim vzťahuje písm. b) vyššie.</w:t>
      </w:r>
    </w:p>
    <w:p w14:paraId="5B164A7A" w14:textId="77777777" w:rsidR="00280D2B" w:rsidRPr="00E24728" w:rsidRDefault="00280D2B" w:rsidP="00366198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 w:rsidRPr="00E24728">
        <w:t>V metodickom výklade sú používané skratky a pojmy zavedené v zákone o príspevku z EŠIF a v Systéme riadenia európskych štrukturálnych a investičných fondov.</w:t>
      </w:r>
    </w:p>
    <w:p w14:paraId="34D78B15" w14:textId="6519CA13" w:rsidR="00280D2B" w:rsidRPr="00E24728" w:rsidRDefault="00280D2B" w:rsidP="00280D2B">
      <w:pPr>
        <w:pStyle w:val="MPCKO1"/>
        <w:tabs>
          <w:tab w:val="left" w:pos="567"/>
        </w:tabs>
        <w:ind w:left="567" w:hanging="567"/>
        <w:jc w:val="both"/>
      </w:pPr>
      <w:bookmarkStart w:id="4" w:name="_Toc31042595"/>
      <w:r w:rsidRPr="00E24728">
        <w:t xml:space="preserve">2 </w:t>
      </w:r>
      <w:r w:rsidRPr="00E24728">
        <w:tab/>
        <w:t>Základné pravidlá týkajúce sa zlúčenia operačných programov a vysvetlenie niektorých pojmov</w:t>
      </w:r>
      <w:bookmarkEnd w:id="4"/>
    </w:p>
    <w:p w14:paraId="05E3D6CA" w14:textId="22DF1E5E" w:rsidR="00280D2B" w:rsidRPr="00E24728" w:rsidRDefault="00280D2B" w:rsidP="00366198">
      <w:pPr>
        <w:pStyle w:val="Odsekzoznamu"/>
        <w:numPr>
          <w:ilvl w:val="0"/>
          <w:numId w:val="3"/>
        </w:numPr>
        <w:spacing w:before="120" w:after="120"/>
        <w:ind w:left="426" w:hanging="426"/>
        <w:contextualSpacing w:val="0"/>
        <w:jc w:val="both"/>
      </w:pPr>
      <w:r w:rsidRPr="00E24728">
        <w:t>Metodický výklad je vydaný v súlade s kapitolou 1.2, odsek 5 Systému riadenia európskych štrukturálnych a investičných fondov.</w:t>
      </w:r>
    </w:p>
    <w:p w14:paraId="7E3811D6" w14:textId="77777777" w:rsidR="00280D2B" w:rsidRPr="00E24728" w:rsidRDefault="00280D2B" w:rsidP="00366198">
      <w:pPr>
        <w:pStyle w:val="Odsekzoznamu"/>
        <w:numPr>
          <w:ilvl w:val="0"/>
          <w:numId w:val="3"/>
        </w:numPr>
        <w:spacing w:before="120" w:after="120"/>
        <w:ind w:left="426" w:hanging="426"/>
        <w:contextualSpacing w:val="0"/>
        <w:jc w:val="both"/>
      </w:pPr>
      <w:r w:rsidRPr="00E24728">
        <w:t xml:space="preserve">Vzhľadom na to, že zákon č. 461/2019 Z. z., ktorým sa zlúčenie operačných programov ako nový inštitút doplnilo do zákona o príspevku z EŠIF, neobsahoval žiadne iné zmeny, celý zákon a jeho dôvodová správa (vo všeobecnej a osobitnej časti) sa komplexne venujú iba problematike zlúčenia operačných programov. Novela zákona o príspevku z EŠIF obsahuje vecnú úpravu zlúčenia v § 3, 7 a 8 ako aj samostatnú úpravu týkajúcu sa rôznych procesov vedených, resp. dokumentov používaných v rámci implementácie EŠIF v § 54 (spoločné ustanovenia k zlúčeniu operačných programov) a v § 55 (prechodné ustanovenia k zlúčeniu OP VaI do OP II). Pri vzniku otázok súvisiacich so zlúčením operačných programov je preto potrebné odkázať na samotné ustanovenia zák. č. 461/2019 Z. z. a obsah dôvodovej správy. Úprava v samotnom právnom predpise, ale najmä v osobitnej </w:t>
      </w:r>
      <w:r w:rsidRPr="00E24728">
        <w:lastRenderedPageBreak/>
        <w:t xml:space="preserve">časti dôvodovej správy, je podrobná a venuje sa aj otázkam vysvetľujúcim dôvody zákonnej úpravy a spôsob ich aplikácie v praxi nielen z hľadiska EŠIF, ale aj z hľadiska majetkovoprávneho a tiež širšieho legislatívneho ukotvenia účinkov zlúčenia operačných programov s dopadom na iné oblasti, ktoré môžu byť zlúčením dotknuté (napr. oblasť vykonávania finančnej kontroly, oblasť štátnozamestnaneckých vzťahov). </w:t>
      </w:r>
    </w:p>
    <w:p w14:paraId="48112A7D" w14:textId="682094E9" w:rsidR="00280D2B" w:rsidRPr="00E24728" w:rsidRDefault="00280D2B" w:rsidP="00366198">
      <w:pPr>
        <w:pStyle w:val="Odsekzoznamu"/>
        <w:numPr>
          <w:ilvl w:val="0"/>
          <w:numId w:val="3"/>
        </w:numPr>
        <w:spacing w:before="120" w:after="120"/>
        <w:ind w:left="426" w:hanging="426"/>
        <w:contextualSpacing w:val="0"/>
        <w:jc w:val="both"/>
      </w:pPr>
      <w:r w:rsidRPr="00E24728">
        <w:t>Zlúčenie operačných programov spôsobuje zánik zlučovaného operačného programu jeho včlenením do iného existujúceho operačného programu. Zlučovaný operačný program sa označuje ako „zanikajúci operačný program“ a operačný program, do ktorého sa zanikajúci operačný program včleňuje, sa označuje ako „nástupnícky operačný program“. Nástupnícky operačný program je univerzálnym právnym nástupcom do všetkých práv, povinností a vzťahov po zanikajúcom operačnom programe a súčasne dochádza k univerzálnej sukcesii aj na úrovni subjektov, t.</w:t>
      </w:r>
      <w:r w:rsidR="00784EF7">
        <w:t xml:space="preserve"> </w:t>
      </w:r>
      <w:r w:rsidRPr="00E24728">
        <w:t>j. na úrovni riadiaceho a sprostredkovateľského orgánu. Univerzálna sukcesia (právne nástupníctvo) sa tu používa vo svojom ustálenom význame vyplývajúc</w:t>
      </w:r>
      <w:r w:rsidR="00E24728" w:rsidRPr="00E24728">
        <w:t>om</w:t>
      </w:r>
      <w:r w:rsidRPr="00E24728">
        <w:t xml:space="preserve"> aj z iných odvetví práva SR a právnej teórie</w:t>
      </w:r>
      <w:r w:rsidRPr="00E24728">
        <w:rPr>
          <w:vertAlign w:val="superscript"/>
        </w:rPr>
        <w:footnoteReference w:id="1"/>
      </w:r>
      <w:r w:rsidRPr="00E24728">
        <w:t>, pričom však ide o prvú výslovnú právnu úpravu univerzálnej sukcesie vo verejnom práve. Univerzálna sukcesia znamená, že právny nástupca automaticky vstupuje do postavenia svojho právneho predchodcu v celom rozsahu, bez potreby vykonania akéhokoľvek právneho úkonu, pretože univerzálnou sukcesiou dochádza k prechodu práv, povinností a</w:t>
      </w:r>
      <w:r w:rsidR="00BF44DB">
        <w:t> </w:t>
      </w:r>
      <w:r w:rsidRPr="00E24728">
        <w:t>vzťahov</w:t>
      </w:r>
      <w:r w:rsidR="00BF44DB">
        <w:t xml:space="preserve"> priamo zo zákona</w:t>
      </w:r>
      <w:r w:rsidRPr="00E24728">
        <w:t xml:space="preserve">, nie k ich prevodu, na ktorý by sa vyžadovalo vykonanie právneho úkonu. </w:t>
      </w:r>
    </w:p>
    <w:p w14:paraId="4951D2C1" w14:textId="0F972C0B" w:rsidR="00280D2B" w:rsidRPr="00E24728" w:rsidRDefault="00280D2B" w:rsidP="00366198">
      <w:pPr>
        <w:pStyle w:val="Odsekzoznamu"/>
        <w:numPr>
          <w:ilvl w:val="0"/>
          <w:numId w:val="3"/>
        </w:numPr>
        <w:spacing w:before="120" w:after="120"/>
        <w:ind w:left="426" w:hanging="426"/>
        <w:contextualSpacing w:val="0"/>
        <w:jc w:val="both"/>
      </w:pPr>
      <w:r w:rsidRPr="00E24728">
        <w:t xml:space="preserve">Ak zákon o príspevku z EŠIF neupravuje osobitne určitú konkrétnu záležitosť týkajúcu sa, resp. vyplývajúcu zo zlúčenia operačných programov, vždy je potrebné ju vyriešiť v súlade s princípom univerzálnej sukcesie, a to vo všetkých záležitostiach, ktoré sú zlúčením dotknuté, t. j. nielen ohľadom záležitostí priamo sa týkajúcich implementácie EŠIF. Uvedené napríklad znamená, že: </w:t>
      </w:r>
    </w:p>
    <w:p w14:paraId="630F04F0" w14:textId="71D90B6C" w:rsidR="00280D2B" w:rsidRPr="00E24728" w:rsidRDefault="00280D2B" w:rsidP="00366198">
      <w:pPr>
        <w:pStyle w:val="Odsekzoznamu"/>
        <w:numPr>
          <w:ilvl w:val="1"/>
          <w:numId w:val="4"/>
        </w:numPr>
        <w:spacing w:before="120" w:after="120"/>
        <w:ind w:left="851" w:hanging="425"/>
        <w:contextualSpacing w:val="0"/>
        <w:jc w:val="both"/>
      </w:pPr>
      <w:r w:rsidRPr="00E24728">
        <w:t>Riadiaca dokumentácia (napr. výzvy, manuál procedúr, príručky, usmernenia, vzory alebo iné právne dokumenty vydané v zmysle zmluvy o poskytnutí NFP alebo v súvislosti s ňou) zanikajúceho operačného programu je účinnosťou zlúčenia riadiacou dokumentáciou nástupníckeho operačného programu, pričom sa na ňu neprihliada v časti, v ktorej je v rozpore s právnym postavením subjektov (RO/SO), ktoré tieto subjekty majú po účinnosti zlúčenia v nadväznosti na ich určenie podľa § 4 zákona o príspevku z EŠIF; to znamená, že sa neprihliada na právomoci</w:t>
      </w:r>
      <w:r w:rsidR="00B17F75">
        <w:t xml:space="preserve"> a z nej vyplývajúce práva</w:t>
      </w:r>
      <w:r w:rsidRPr="00E24728">
        <w:t xml:space="preserve"> a povinnosti dané v riadiacej dokumentácii subjektu, ktorý bol riadiacim orgánom zanikajúceho operačného programu a po zlúčení je  sprostredkovateľským orgánom nástupníckeho operačného programu, ak tieto právomoci sú podľa práva EÚ alebo SR späté výlučne s postavením riadiaceho orgánu,  ak právo SR súladné s právom EÚ neobsahuje osobitnú úpravu alebo ak tieto právomoci nemá spätne delegované podľa zmluvy o vykonávaní časti úloh riadiaceho orgánu sprostredkovateľským orgánom. Z praktického hľadiska uvedené znamená, že plnej aplikovateľnosti riadiacej dokumentácie nebráni, ak je formálne označená ako dokumentácia OP VaI namiesto OP II, ak takto existovala ku dňu účinnosti zlúčenia, pretože v tomto stave sa automaticky včlenila do OP II a takto existuje aj naďalej. </w:t>
      </w:r>
    </w:p>
    <w:p w14:paraId="523D4853" w14:textId="77777777" w:rsidR="00280D2B" w:rsidRPr="00E24728" w:rsidRDefault="00280D2B" w:rsidP="00366198">
      <w:pPr>
        <w:pStyle w:val="Odsekzoznamu"/>
        <w:numPr>
          <w:ilvl w:val="1"/>
          <w:numId w:val="4"/>
        </w:numPr>
        <w:spacing w:before="120" w:after="120"/>
        <w:ind w:left="851" w:hanging="425"/>
        <w:contextualSpacing w:val="0"/>
        <w:jc w:val="both"/>
      </w:pPr>
      <w:r w:rsidRPr="00E24728">
        <w:t xml:space="preserve">Závery uvedené k riadiacej dokumentácii v písm. a) sa v primeranom rozsahu, aký je možný v danej veci uplatniť, uplatňujú aj na riadiacu dokumentáciu používanú pod </w:t>
      </w:r>
      <w:r w:rsidRPr="00E24728">
        <w:lastRenderedPageBreak/>
        <w:t>projektom (v rámci národného, kde dochádza k poskytovaniu pomoci) voči cieľovým skupinám/užívateľom.</w:t>
      </w:r>
    </w:p>
    <w:p w14:paraId="140C6987" w14:textId="75383111" w:rsidR="00280D2B" w:rsidRPr="00E24728" w:rsidRDefault="00280D2B" w:rsidP="00366198">
      <w:pPr>
        <w:pStyle w:val="Odsekzoznamu"/>
        <w:numPr>
          <w:ilvl w:val="1"/>
          <w:numId w:val="4"/>
        </w:numPr>
        <w:spacing w:before="120" w:after="120"/>
        <w:ind w:left="851" w:hanging="425"/>
        <w:contextualSpacing w:val="0"/>
        <w:jc w:val="both"/>
      </w:pPr>
      <w:r w:rsidRPr="00E24728">
        <w:t>Každý odkaz na zanikajúci operačný program (vrátane použitia loga) znamená odkaz na nástupnícky operačný program, ak z kontextu nevyplýva, že sa výslovne odkazuje len na zanikajúci operačný program v znení do nadobudnutia účinnosti zlúčenia operačných programov.</w:t>
      </w:r>
      <w:r w:rsidR="0012210D">
        <w:t xml:space="preserve"> Vo vzťahu k publicite je podrobnejší príklad uvedený v </w:t>
      </w:r>
      <w:r w:rsidR="00230080">
        <w:t>kapitole</w:t>
      </w:r>
      <w:r w:rsidR="0012210D">
        <w:t xml:space="preserve"> 7 tohto metodického výkladu.</w:t>
      </w:r>
      <w:r w:rsidRPr="00E24728">
        <w:t xml:space="preserve"> </w:t>
      </w:r>
    </w:p>
    <w:p w14:paraId="192FD5A9" w14:textId="1CBF0D18" w:rsidR="00280D2B" w:rsidRPr="00E24728" w:rsidRDefault="00280D2B" w:rsidP="00366198">
      <w:pPr>
        <w:pStyle w:val="Odsekzoznamu"/>
        <w:numPr>
          <w:ilvl w:val="0"/>
          <w:numId w:val="3"/>
        </w:numPr>
        <w:spacing w:before="120" w:after="120"/>
        <w:ind w:left="426" w:hanging="426"/>
        <w:contextualSpacing w:val="0"/>
        <w:jc w:val="both"/>
      </w:pPr>
      <w:r w:rsidRPr="00E24728">
        <w:t>Osobitná úprava je obsiahnutá najmä v § 54 zákona o príspevku z EŠIF, ktorého účelom je zabezpečiť kontinuitu právnych vzťahov na technickej úrovni, t. j. právnou úpravou týkajúcou sa exaktne jednotlivých záležitostí (konaní, procesov, úkonov, dokumentov a pod.), ktoré sa realizujú pri implementácii EŠIF. Ide najmä o tzv. dokončovacie konania, t. j. konania vedené poskytovateľom alebo správnym orgánom, ktoré boli začaté, ale neukončené pred účinnosťou zlúčenia. Platí pritom tzv. jednotnosť správneho konania, kedy sa správne konani</w:t>
      </w:r>
      <w:r w:rsidR="00BF44DB">
        <w:t>e</w:t>
      </w:r>
      <w:r w:rsidRPr="00E24728">
        <w:t xml:space="preserve"> považuje za ukončené až právoplatnosťou</w:t>
      </w:r>
      <w:r w:rsidR="00B17F75">
        <w:t xml:space="preserve"> v ňom vydaného rozhodnutia</w:t>
      </w:r>
      <w:r w:rsidRPr="00E24728">
        <w:rPr>
          <w:vertAlign w:val="superscript"/>
        </w:rPr>
        <w:footnoteReference w:id="2"/>
      </w:r>
      <w:r w:rsidRPr="00E24728">
        <w:t xml:space="preserve">. Tiež sa osobitná úprava v § 54 vzťahuje na konanie o preskúmaní rozhodnutia mimo odvolacieho konania. </w:t>
      </w:r>
    </w:p>
    <w:p w14:paraId="5B247EA6" w14:textId="77777777" w:rsidR="00280D2B" w:rsidRPr="00E24728" w:rsidRDefault="00280D2B" w:rsidP="00366198">
      <w:pPr>
        <w:pStyle w:val="Odsekzoznamu"/>
        <w:numPr>
          <w:ilvl w:val="0"/>
          <w:numId w:val="3"/>
        </w:numPr>
        <w:spacing w:before="120" w:after="120"/>
        <w:ind w:left="426" w:hanging="426"/>
        <w:contextualSpacing w:val="0"/>
        <w:jc w:val="both"/>
      </w:pPr>
      <w:r w:rsidRPr="00E24728">
        <w:t xml:space="preserve">Čo sa týka subjektov, univerzálna sukcesia sa v plnej miere uplatní aj v tejto rovine. Zákon o príspevku z EŠIF pracuje s označením poskytovateľ zanikajúceho operačného programu, prípadne poskytovateľ nástupníckeho operačného programu. Poskytovateľom sa vždy myslí ten subjekt, ktorý ako poskytovateľ podľa § 3 ods. 2 písm. f) zákona o príspevku z EŠIF konal ako riadiaci orgán alebo ako sprostredkovateľský orgán v zanikajúcom operačnom programe, alebo tak koná v nástupníckom operačnom programe.  </w:t>
      </w:r>
    </w:p>
    <w:p w14:paraId="221B805F" w14:textId="77777777" w:rsidR="00280D2B" w:rsidRPr="00E24728" w:rsidRDefault="00280D2B" w:rsidP="00366198">
      <w:pPr>
        <w:pStyle w:val="Odsekzoznamu"/>
        <w:numPr>
          <w:ilvl w:val="0"/>
          <w:numId w:val="3"/>
        </w:numPr>
        <w:spacing w:before="120" w:after="120"/>
        <w:ind w:left="426" w:hanging="426"/>
        <w:contextualSpacing w:val="0"/>
        <w:jc w:val="both"/>
      </w:pPr>
      <w:r w:rsidRPr="00E24728">
        <w:t xml:space="preserve">Konanie v konkrétnych situáciách, ktoré zahŕňajú viaceré záležitosti, je potrebné vyhodnotiť na základe aplikácie všeobecných pravidiel v kombinácii s konkrétnym spôsobom konania podľa kapitoly 3 alebo 4 tohto výkladu. Niektoré typické situácie boli popísané v závere v kapitole 7 tohto výkladu. </w:t>
      </w:r>
    </w:p>
    <w:p w14:paraId="0386BB25" w14:textId="130AA79B" w:rsidR="00280D2B" w:rsidRPr="00E24728" w:rsidRDefault="00280D2B" w:rsidP="00280D2B">
      <w:pPr>
        <w:pStyle w:val="MPCKO1"/>
        <w:tabs>
          <w:tab w:val="left" w:pos="567"/>
        </w:tabs>
        <w:ind w:left="567" w:hanging="567"/>
        <w:jc w:val="both"/>
      </w:pPr>
      <w:bookmarkStart w:id="5" w:name="_Toc31042596"/>
      <w:r w:rsidRPr="00E24728">
        <w:t xml:space="preserve">3 </w:t>
      </w:r>
      <w:r w:rsidRPr="00E24728">
        <w:tab/>
        <w:t>Implementácia po zlúčení operačných programov vo veciach, ktoré sú nové (t.</w:t>
      </w:r>
      <w:r w:rsidR="00784EF7">
        <w:t xml:space="preserve"> </w:t>
      </w:r>
      <w:r w:rsidRPr="00E24728">
        <w:t>j. neexistovali pred zlúčením operačných programov)</w:t>
      </w:r>
      <w:bookmarkEnd w:id="5"/>
    </w:p>
    <w:p w14:paraId="62C61B55" w14:textId="77777777" w:rsidR="00280D2B" w:rsidRPr="00E24728" w:rsidRDefault="00280D2B" w:rsidP="00366198">
      <w:pPr>
        <w:pStyle w:val="Odsekzoznamu"/>
        <w:numPr>
          <w:ilvl w:val="0"/>
          <w:numId w:val="5"/>
        </w:numPr>
        <w:spacing w:before="120" w:after="120"/>
        <w:ind w:left="425" w:hanging="425"/>
        <w:contextualSpacing w:val="0"/>
        <w:jc w:val="both"/>
      </w:pPr>
      <w:r w:rsidRPr="00E24728">
        <w:t>V nových veciach koná každý poskytovateľ v takom postavení, ktoré má po zlúčení operačných programov, a to podľa štandardných ustanovení zákona o príspevku z EŠIF a v súlade so zmluvou o vykonávaní časti úloh riadiaceho orgánu sprostredkovateľským orgánom</w:t>
      </w:r>
      <w:r w:rsidRPr="00E24728">
        <w:rPr>
          <w:i/>
        </w:rPr>
        <w:t xml:space="preserve"> </w:t>
      </w:r>
      <w:r w:rsidRPr="00E24728">
        <w:t xml:space="preserve">bez toho, aby bolo v zásade potrebné osobitne riešiť následky zlúčenia operačných programov. Vychádza sa pritom z toho, že právne účinky úkonov vykonaných pred zlúčením operačných programov zostávajú aj po zlúčení automaticky zachované v plnom rozsahu (bez akejkoľvek výnimky) a ak sa v súvislosti s nimi začne konať v novej veci, vychádza sa z tohto pôvodného úkonu, ale nová vec sa rieši v súlade s aktuálnym postavením daného poskytovateľa v rámci nástupníckeho operačného programu. Príkladom je riešenie zmeny projektu, kontrola projektu, uzavretie záložnej zmluvy </w:t>
      </w:r>
      <w:r w:rsidRPr="00E24728">
        <w:lastRenderedPageBreak/>
        <w:t xml:space="preserve">a mnohé ďalšie, ktoré začali alebo ku ktorým dochádza po účinnosti zlúčenia operačných programov na základe alebo v súvislosti so zmluvou o poskytnutí NFP, ktorá bola účinná pred zlúčením operačných programov. V prípade zlúčenia OP VaI do OP II to znamená, že každý z poskytovateľov koná v súlade s UV 522/2019, ktorým sa dopĺňa uznesenie vlády č. 171 zo 16. apríla 2014 a podľa zmluvy o vykonávaní časti úloh riadiaceho orgánu sprostredkovateľským orgánom. </w:t>
      </w:r>
    </w:p>
    <w:p w14:paraId="6513821D" w14:textId="3DA4B71F" w:rsidR="00280D2B" w:rsidRPr="00E24728" w:rsidRDefault="00280D2B" w:rsidP="00366198">
      <w:pPr>
        <w:pStyle w:val="Odsekzoznamu"/>
        <w:numPr>
          <w:ilvl w:val="0"/>
          <w:numId w:val="5"/>
        </w:numPr>
        <w:spacing w:before="120" w:after="120"/>
        <w:ind w:left="425" w:hanging="425"/>
        <w:contextualSpacing w:val="0"/>
        <w:jc w:val="both"/>
      </w:pPr>
      <w:r w:rsidRPr="00E24728">
        <w:t>To, či určitá záležitosť je novou vecou, je potrebné posudzovať prísne podľa vymedzenia danej záležitosti v zákone o príspevku z EŠIF. Napríklad, ak došlo k vyhláseniu výzvy pred zlúčením operačných programov, ale k podaniu žiadosti na základe takejto výzvy došlo až po zlúčení, na výzvu a zachovanie jej účinkov sa vzťahujú ustanovenia § 54 ods. 1 zákona o príspevku z EŠIF, konanie o žiadosti sa však už spravuje štandardnými ustanoveniami o konaní podľa § 19 zákona o príspevku z EŠIF bez toho, aby sa osobitne riešilo zlúčenie operačných programov, t.</w:t>
      </w:r>
      <w:r w:rsidR="00784EF7">
        <w:t xml:space="preserve"> </w:t>
      </w:r>
      <w:r w:rsidRPr="00E24728">
        <w:t>j. ide o novú vec.</w:t>
      </w:r>
    </w:p>
    <w:p w14:paraId="38738480" w14:textId="29F377C8" w:rsidR="00280D2B" w:rsidRPr="00E24728" w:rsidRDefault="00280D2B" w:rsidP="00280D2B">
      <w:pPr>
        <w:pStyle w:val="MPCKO1"/>
        <w:tabs>
          <w:tab w:val="left" w:pos="567"/>
        </w:tabs>
        <w:ind w:left="567" w:hanging="567"/>
        <w:jc w:val="both"/>
      </w:pPr>
      <w:bookmarkStart w:id="6" w:name="_Toc31042597"/>
      <w:r w:rsidRPr="00E24728">
        <w:t xml:space="preserve">4 </w:t>
      </w:r>
      <w:r w:rsidRPr="00E24728">
        <w:tab/>
        <w:t>Implementácia vo veciach, ktoré začali pred účinnosťou zlúčenia operačných programov a dokončujú sa po účinnosti zákona č. 461/2019 Z. z.</w:t>
      </w:r>
      <w:bookmarkEnd w:id="6"/>
      <w:r w:rsidRPr="00E24728">
        <w:t xml:space="preserve"> </w:t>
      </w:r>
    </w:p>
    <w:p w14:paraId="1F4A5A70" w14:textId="5AD160E4" w:rsidR="00146E8B" w:rsidRPr="00E24728" w:rsidRDefault="00146E8B" w:rsidP="00366198">
      <w:pPr>
        <w:pStyle w:val="Odsekzoznamu"/>
        <w:numPr>
          <w:ilvl w:val="0"/>
          <w:numId w:val="9"/>
        </w:numPr>
        <w:spacing w:before="120" w:after="120"/>
        <w:ind w:left="426" w:hanging="426"/>
        <w:contextualSpacing w:val="0"/>
        <w:jc w:val="both"/>
      </w:pPr>
      <w:r w:rsidRPr="00E24728">
        <w:rPr>
          <w:b/>
        </w:rPr>
        <w:t>Všeobecne:</w:t>
      </w:r>
      <w:r w:rsidRPr="00E24728">
        <w:t xml:space="preserve"> Na tieto veci sa v plnej miere vzťahujú ustanovenia § 54 zákona o príspevku z EŠIF. V jednotlivých veciach koná poskytovateľ </w:t>
      </w:r>
      <w:r w:rsidR="00CF14D8">
        <w:t>tak</w:t>
      </w:r>
      <w:r w:rsidRPr="00E24728">
        <w:t xml:space="preserve">, </w:t>
      </w:r>
      <w:r w:rsidR="00CF14D8">
        <w:t>ako</w:t>
      </w:r>
      <w:r w:rsidRPr="00E24728">
        <w:t xml:space="preserve"> mu to zákon prisudzuje, t.</w:t>
      </w:r>
      <w:r w:rsidR="00784EF7">
        <w:t xml:space="preserve"> </w:t>
      </w:r>
      <w:r w:rsidRPr="00E24728">
        <w:t>j. ako poskytovateľ zanikajúceho operačného programu (vo vzťahu ku konaniu o žiadosti a vo vzťahu k riešeniu opravných prostriedkov) alebo ako poskytovateľ nástupníckeho operačného programu (vo vzťahu k implementácii projektu podľa zmluvy o poskytnutí NFP a s tým súvisiacim úkonom, procesom a postupom). Pre zjednodušenie orientácie pri zlúčení OP VaI do OP II bola spracovaná tabuľka, ktorá sumarizuje jednotlivé konania, procesy, vzťahy, úkony a zodpovednosti vo vzťahu k všetkým trom poskytovateľom zanikajúceho operačného programu, t.</w:t>
      </w:r>
      <w:r w:rsidR="00784EF7">
        <w:t xml:space="preserve"> </w:t>
      </w:r>
      <w:r w:rsidRPr="00E24728">
        <w:t>j. MŠVVaŠ SR ako riadiaceho orgánu zanikajúceho operačného programu (v tabuľke označený ako „RO-Z“) a MH SR a Výskumnej agentúry ako sprostredkovateľských orgánov zanikajúceho operačného programu (v tabuľke označení ako „SO-Z“); tabuľka sa nachádza v</w:t>
      </w:r>
      <w:r w:rsidR="00BF44DB">
        <w:t> </w:t>
      </w:r>
      <w:r w:rsidRPr="00E24728">
        <w:t>prílohe</w:t>
      </w:r>
      <w:r w:rsidR="00BF44DB">
        <w:t xml:space="preserve"> č. 1</w:t>
      </w:r>
      <w:r w:rsidRPr="00E24728">
        <w:t xml:space="preserve"> tohto metodického výkladu. </w:t>
      </w:r>
      <w:r w:rsidR="00554E89">
        <w:t>Pre úplnosť sa dopĺňa, že v tabuľke označené subjekty SO-N a RO-N znamenajú sprostredkovateľský resp. riadiaci orgán nástupníckeho operačného programu.</w:t>
      </w:r>
    </w:p>
    <w:p w14:paraId="7614389A" w14:textId="77777777" w:rsidR="00146E8B" w:rsidRPr="00E24728" w:rsidRDefault="00146E8B" w:rsidP="00366198">
      <w:pPr>
        <w:pStyle w:val="Odsekzoznamu"/>
        <w:numPr>
          <w:ilvl w:val="0"/>
          <w:numId w:val="9"/>
        </w:numPr>
        <w:spacing w:before="120" w:after="120"/>
        <w:ind w:left="426" w:hanging="426"/>
        <w:contextualSpacing w:val="0"/>
        <w:jc w:val="both"/>
      </w:pPr>
      <w:r w:rsidRPr="00E24728">
        <w:rPr>
          <w:b/>
        </w:rPr>
        <w:t>Verejnoprávna časť - konania vedené poskytovateľom alebo správnym orgánom:</w:t>
      </w:r>
      <w:r w:rsidRPr="00E24728">
        <w:t xml:space="preserve"> Označenie poskytovateľa, resp. štatutárneho orgánu poskytovateľa v nadväznosti na úpravu podľa § 7 ods. 11, § 8 ods. 7 a § 54 zákona o príspevku z EŠIF pri tam uvedených konaniach alebo iných úkonoch, pri ktorých je metodické usmerňovanie v gescii CKO.  </w:t>
      </w:r>
    </w:p>
    <w:p w14:paraId="00CC5A8C" w14:textId="5E00591D" w:rsidR="00146E8B" w:rsidRPr="00E24728" w:rsidRDefault="00146E8B" w:rsidP="00366198">
      <w:pPr>
        <w:pStyle w:val="Odsekzoznamu"/>
        <w:numPr>
          <w:ilvl w:val="1"/>
          <w:numId w:val="16"/>
        </w:numPr>
        <w:spacing w:before="120" w:after="120"/>
        <w:ind w:left="851" w:hanging="425"/>
        <w:contextualSpacing w:val="0"/>
        <w:jc w:val="both"/>
      </w:pPr>
      <w:r w:rsidRPr="00E24728">
        <w:rPr>
          <w:u w:val="single"/>
        </w:rPr>
        <w:t>Tzv. dokončovacie konania súvisiace s konaním o žiadosti alebo posudzovaním projektového zámeru (uvedené v § 54 ods. 2, 4 až 6)</w:t>
      </w:r>
      <w:r w:rsidRPr="00E24728">
        <w:t xml:space="preserve"> – týka sa vzorov CKO č. 19, 20, 22 a 30. Pre označenie konajúceho poskytovateľa je kľúčová konštrukcia obsiahnutá v § 7 ods. 11 a v § 8 ods. 7 zákona o príspevku z EŠIF v spojení s konkrétnym typom konania, pre ktorý je potrebné konajúci orgán označiť podľa § 54. Ak zákon o príspevku z EŠIF v § 54 stanovuje, že určitý subjekt koná ako poskytovateľ zanikajúceho operačného programu (v </w:t>
      </w:r>
      <w:r w:rsidR="00573F98" w:rsidRPr="00E24728">
        <w:t>prílohe</w:t>
      </w:r>
      <w:r w:rsidRPr="00E24728">
        <w:t xml:space="preserve"> </w:t>
      </w:r>
      <w:r w:rsidR="00B02AC9">
        <w:t xml:space="preserve">č. 1 </w:t>
      </w:r>
      <w:r w:rsidRPr="00E24728">
        <w:t>označené ako „RO-Z“ alebo „SO-</w:t>
      </w:r>
      <w:r w:rsidRPr="00E24728">
        <w:lastRenderedPageBreak/>
        <w:t>Z“), vo vzťahu k zlúčeniu OP VaI do OP II sa daný subjekt označuje v hlavičke</w:t>
      </w:r>
      <w:r w:rsidR="00E24728">
        <w:rPr>
          <w:rStyle w:val="Odkaznapoznmkupodiarou"/>
        </w:rPr>
        <w:footnoteReference w:id="3"/>
      </w:r>
      <w:r w:rsidRPr="00E24728">
        <w:t xml:space="preserve"> daného rozhodnutia, žiadosti alebo správy </w:t>
      </w:r>
      <w:r w:rsidR="00E24728" w:rsidRPr="00E24728">
        <w:t>nasledovne</w:t>
      </w:r>
      <w:r w:rsidRPr="00E24728">
        <w:t xml:space="preserve">: </w:t>
      </w:r>
    </w:p>
    <w:p w14:paraId="3ABA54F2" w14:textId="77777777" w:rsidR="00146E8B" w:rsidRPr="00E24728" w:rsidRDefault="00146E8B" w:rsidP="00E24728">
      <w:pPr>
        <w:pStyle w:val="Odsekzoznamu"/>
        <w:numPr>
          <w:ilvl w:val="2"/>
          <w:numId w:val="7"/>
        </w:numPr>
        <w:spacing w:before="120" w:after="120"/>
        <w:ind w:left="1276" w:hanging="425"/>
        <w:contextualSpacing w:val="0"/>
        <w:jc w:val="both"/>
        <w:rPr>
          <w:b/>
        </w:rPr>
      </w:pPr>
      <w:r w:rsidRPr="00E24728">
        <w:rPr>
          <w:b/>
        </w:rPr>
        <w:t>MŠVVaŠ SR:</w:t>
      </w:r>
    </w:p>
    <w:p w14:paraId="1959A893" w14:textId="2DA65F2E" w:rsidR="00146E8B" w:rsidRPr="00E24728" w:rsidRDefault="00146E8B" w:rsidP="00E24728">
      <w:pPr>
        <w:pStyle w:val="Odsekzoznamu"/>
        <w:spacing w:before="120" w:after="120"/>
        <w:ind w:left="1276"/>
        <w:contextualSpacing w:val="0"/>
        <w:jc w:val="both"/>
      </w:pPr>
      <w:r w:rsidRPr="00E24728">
        <w:t>„</w:t>
      </w:r>
      <w:r w:rsidRPr="00E24728">
        <w:rPr>
          <w:i/>
        </w:rPr>
        <w:t>Ministerstvo školstva vedy, výskumu a športu SR konajúce podľa § 54 v spojení s § 7 ods. 11 zákona č. 292/2014 Z. z. o príspevku poskytovanom z európskych štrukturálnych a investičných fondov a o zmene a doplnení niektorých zákonov v znení neskorších predpisov ako  riadiaci orgán zanikajúceho operačného programu Výskum a inovácie pri dokončovaní konaní/posudzovaní</w:t>
      </w:r>
      <w:r w:rsidR="00E24728" w:rsidRPr="00E24728">
        <w:rPr>
          <w:rStyle w:val="Odkaznapoznmkupodiarou"/>
          <w:i/>
          <w:color w:val="FF0000"/>
        </w:rPr>
        <w:footnoteReference w:customMarkFollows="1" w:id="4"/>
        <w:t>*</w:t>
      </w:r>
      <w:r w:rsidRPr="00E24728">
        <w:rPr>
          <w:i/>
        </w:rPr>
        <w:t>, ktoré boli začaté, ale neskončené do zlúčenia operačného programu Výskum a inovácie s operačným programom Integrovaná infraštruktúra</w:t>
      </w:r>
      <w:r w:rsidR="00230080">
        <w:rPr>
          <w:i/>
        </w:rPr>
        <w:t xml:space="preserve">, </w:t>
      </w:r>
      <w:r w:rsidR="00230080" w:rsidRPr="00230080">
        <w:rPr>
          <w:i/>
        </w:rPr>
        <w:t>a to v postavení riadiaceho orgánu pre operačný program Integrovaná infraštruktúra</w:t>
      </w:r>
      <w:r w:rsidR="0022292E">
        <w:rPr>
          <w:i/>
        </w:rPr>
        <w:t xml:space="preserve"> </w:t>
      </w:r>
      <w:r w:rsidRPr="00E24728">
        <w:rPr>
          <w:i/>
        </w:rPr>
        <w:t>(ďalej ako „poskytovateľ“)</w:t>
      </w:r>
      <w:r w:rsidRPr="00E24728">
        <w:t xml:space="preserve">“ </w:t>
      </w:r>
    </w:p>
    <w:p w14:paraId="1FA4DA7C" w14:textId="77777777" w:rsidR="00146E8B" w:rsidRPr="00E24728" w:rsidRDefault="00146E8B" w:rsidP="00E24728">
      <w:pPr>
        <w:pStyle w:val="Odsekzoznamu"/>
        <w:numPr>
          <w:ilvl w:val="2"/>
          <w:numId w:val="7"/>
        </w:numPr>
        <w:spacing w:before="120" w:after="120"/>
        <w:ind w:left="1276" w:hanging="425"/>
        <w:contextualSpacing w:val="0"/>
        <w:jc w:val="both"/>
        <w:rPr>
          <w:b/>
        </w:rPr>
      </w:pPr>
      <w:r w:rsidRPr="00E24728">
        <w:rPr>
          <w:b/>
        </w:rPr>
        <w:t>MH SR/VA:</w:t>
      </w:r>
    </w:p>
    <w:p w14:paraId="125E7AAD" w14:textId="5CFC13A8" w:rsidR="00146E8B" w:rsidRPr="00E24728" w:rsidRDefault="00146E8B" w:rsidP="00E24728">
      <w:pPr>
        <w:pStyle w:val="Odsekzoznamu"/>
        <w:spacing w:before="120" w:after="120"/>
        <w:ind w:left="1276"/>
        <w:contextualSpacing w:val="0"/>
        <w:jc w:val="both"/>
      </w:pPr>
      <w:r w:rsidRPr="00E24728">
        <w:t>„</w:t>
      </w:r>
      <w:r w:rsidRPr="00E24728">
        <w:rPr>
          <w:i/>
        </w:rPr>
        <w:t>Ministerstvo hospodárstva SR</w:t>
      </w:r>
      <w:r w:rsidR="00E24728" w:rsidRPr="00E24728">
        <w:rPr>
          <w:i/>
          <w:color w:val="FF0000"/>
          <w:vertAlign w:val="superscript"/>
        </w:rPr>
        <w:t>*</w:t>
      </w:r>
      <w:r w:rsidRPr="00E24728">
        <w:rPr>
          <w:i/>
        </w:rPr>
        <w:t>/Výskumná agentúra konajúce/konajúca</w:t>
      </w:r>
      <w:r w:rsidR="00E24728" w:rsidRPr="00E24728">
        <w:rPr>
          <w:i/>
          <w:color w:val="FF0000"/>
          <w:vertAlign w:val="superscript"/>
        </w:rPr>
        <w:t>*</w:t>
      </w:r>
      <w:r w:rsidRPr="00E24728">
        <w:rPr>
          <w:i/>
        </w:rPr>
        <w:t xml:space="preserve"> podľa § 54 v spojení s § 8 ods. 7 zákona č. 292/2014 Z. z. o príspevku poskytovanom z európskych štrukturálnych a investičných fondov a o zmene a doplnení niektorých zákonov v znení neskorších predpisov ako sprostredkovateľský orgán zanikajúceho operačného programu Výskum a inovácie pri dokončovaní konaní</w:t>
      </w:r>
      <w:r w:rsidR="00E24728" w:rsidRPr="00E24728">
        <w:rPr>
          <w:i/>
          <w:color w:val="FF0000"/>
          <w:vertAlign w:val="superscript"/>
        </w:rPr>
        <w:t>*</w:t>
      </w:r>
      <w:r w:rsidRPr="00E24728">
        <w:rPr>
          <w:i/>
        </w:rPr>
        <w:t>/posudzovaní</w:t>
      </w:r>
      <w:r w:rsidR="00E24728" w:rsidRPr="00E24728">
        <w:rPr>
          <w:i/>
          <w:color w:val="FF0000"/>
          <w:vertAlign w:val="superscript"/>
        </w:rPr>
        <w:t xml:space="preserve"> *</w:t>
      </w:r>
      <w:r w:rsidRPr="00E24728">
        <w:rPr>
          <w:i/>
        </w:rPr>
        <w:t>, ktoré boli začaté, ale neskončené do zlúčenia operačného programu Výskum a inovácie s operačným programom Integrovaná infraštruktúra, a to v postavení sprostredkovateľského orgánu pre operačný program Integrovaná infraštruktúra, v súlade so Zmluvou o vykonávaní časti úloh riadiaceho orgánu sprostredkovateľským orgánom zo dňa 18.12.2019</w:t>
      </w:r>
      <w:r w:rsidR="00E24728" w:rsidRPr="00E24728">
        <w:rPr>
          <w:i/>
          <w:color w:val="FF0000"/>
          <w:vertAlign w:val="superscript"/>
        </w:rPr>
        <w:t>*</w:t>
      </w:r>
      <w:r w:rsidRPr="00E24728">
        <w:rPr>
          <w:i/>
        </w:rPr>
        <w:t>/ 19.12.2019</w:t>
      </w:r>
      <w:r w:rsidR="00E24728" w:rsidRPr="00E24728">
        <w:rPr>
          <w:i/>
          <w:color w:val="FF0000"/>
          <w:vertAlign w:val="superscript"/>
        </w:rPr>
        <w:t>*</w:t>
      </w:r>
      <w:r w:rsidRPr="00E24728">
        <w:rPr>
          <w:i/>
        </w:rPr>
        <w:t xml:space="preserve"> v spojení s Dohodou o plnomocenstve zo dňa 20.12.2019 (ďalej ako „poskytovateľ“)“</w:t>
      </w:r>
      <w:r w:rsidRPr="00E24728">
        <w:t xml:space="preserve"> </w:t>
      </w:r>
    </w:p>
    <w:p w14:paraId="4D94F818" w14:textId="5F8396E5" w:rsidR="00146E8B" w:rsidRPr="00E24728" w:rsidRDefault="00146E8B" w:rsidP="00E24728">
      <w:pPr>
        <w:pStyle w:val="Odsekzoznamu"/>
        <w:numPr>
          <w:ilvl w:val="2"/>
          <w:numId w:val="7"/>
        </w:numPr>
        <w:spacing w:before="120" w:after="120"/>
        <w:ind w:left="1276" w:hanging="425"/>
        <w:contextualSpacing w:val="0"/>
        <w:jc w:val="both"/>
        <w:rPr>
          <w:b/>
        </w:rPr>
      </w:pPr>
      <w:r w:rsidRPr="00E24728">
        <w:rPr>
          <w:b/>
        </w:rPr>
        <w:t>štatutárny orgán MŠVVaŠ</w:t>
      </w:r>
      <w:r w:rsidR="00DE2B82">
        <w:rPr>
          <w:b/>
        </w:rPr>
        <w:t xml:space="preserve"> SR:</w:t>
      </w:r>
      <w:r w:rsidRPr="00E24728">
        <w:rPr>
          <w:b/>
        </w:rPr>
        <w:t xml:space="preserve"> </w:t>
      </w:r>
    </w:p>
    <w:p w14:paraId="66FE81DD" w14:textId="77777777" w:rsidR="00146E8B" w:rsidRPr="00E24728" w:rsidRDefault="00146E8B" w:rsidP="00E24728">
      <w:pPr>
        <w:pStyle w:val="Odsekzoznamu"/>
        <w:spacing w:before="120" w:after="120"/>
        <w:ind w:left="1276"/>
        <w:contextualSpacing w:val="0"/>
        <w:jc w:val="both"/>
      </w:pPr>
      <w:r w:rsidRPr="00E24728">
        <w:t xml:space="preserve">„Štatutárny orgán </w:t>
      </w:r>
      <w:r w:rsidRPr="00E24728">
        <w:rPr>
          <w:i/>
        </w:rPr>
        <w:t>Ministerstva školstva vedy, výskumu a športu SR konajúci podľa § 54 zákona č. 292/2014 Z. z. o príspevku poskytovanom z európskych štrukturálnych a investičných fondov a o zmene a doplnení niektorých zákonov v znení neskorších predpisov ako štatutárny orgán bývalého riadiaceho orgánu zanikajúceho operačného programu Výskum a Inovácie pri dokončovaní konaní, ktoré boli začaté, ale neskončené do zlúčenia operačného programu Výskum a Inovácie s operačným programom Integrovaná infraštruktúra (ďalej ako „štatutárny orgán poskytovateľa“)</w:t>
      </w:r>
      <w:r w:rsidRPr="00E24728">
        <w:t xml:space="preserve">“ </w:t>
      </w:r>
    </w:p>
    <w:p w14:paraId="4CC8F09F" w14:textId="77777777" w:rsidR="00146E8B" w:rsidRPr="00E24728" w:rsidRDefault="00146E8B" w:rsidP="00E24728">
      <w:pPr>
        <w:pStyle w:val="Odsekzoznamu"/>
        <w:numPr>
          <w:ilvl w:val="2"/>
          <w:numId w:val="7"/>
        </w:numPr>
        <w:spacing w:before="120" w:after="120"/>
        <w:ind w:left="1276" w:hanging="425"/>
        <w:contextualSpacing w:val="0"/>
        <w:jc w:val="both"/>
        <w:rPr>
          <w:b/>
        </w:rPr>
      </w:pPr>
      <w:r w:rsidRPr="00E24728">
        <w:rPr>
          <w:b/>
        </w:rPr>
        <w:t>štatutárny orgán MH SR/VA:</w:t>
      </w:r>
    </w:p>
    <w:p w14:paraId="1EAE50E0" w14:textId="369CC2BB" w:rsidR="00146E8B" w:rsidRPr="00E24728" w:rsidRDefault="00146E8B" w:rsidP="00E24728">
      <w:pPr>
        <w:pStyle w:val="Odsekzoznamu"/>
        <w:spacing w:before="120" w:after="120"/>
        <w:ind w:left="1276"/>
        <w:contextualSpacing w:val="0"/>
        <w:jc w:val="both"/>
      </w:pPr>
      <w:r w:rsidRPr="00E24728">
        <w:t>„</w:t>
      </w:r>
      <w:r w:rsidRPr="00E24728">
        <w:rPr>
          <w:i/>
        </w:rPr>
        <w:t>Štatutárny orgán</w:t>
      </w:r>
      <w:r w:rsidRPr="00E24728">
        <w:t xml:space="preserve"> </w:t>
      </w:r>
      <w:r w:rsidRPr="00E24728">
        <w:rPr>
          <w:i/>
        </w:rPr>
        <w:t>Ministerstva hospodárstva SR</w:t>
      </w:r>
      <w:r w:rsidR="00E24728" w:rsidRPr="00E24728">
        <w:rPr>
          <w:i/>
          <w:color w:val="FF0000"/>
          <w:vertAlign w:val="superscript"/>
        </w:rPr>
        <w:t>*</w:t>
      </w:r>
      <w:r w:rsidRPr="00E24728">
        <w:rPr>
          <w:i/>
        </w:rPr>
        <w:t>/Výskumnej agentúry</w:t>
      </w:r>
      <w:r w:rsidR="00E24728" w:rsidRPr="00E24728">
        <w:rPr>
          <w:i/>
          <w:color w:val="FF0000"/>
          <w:vertAlign w:val="superscript"/>
        </w:rPr>
        <w:t>*</w:t>
      </w:r>
      <w:r w:rsidRPr="00E24728">
        <w:rPr>
          <w:i/>
        </w:rPr>
        <w:t xml:space="preserve"> konajúci podľa § 54 zákona č. 292/2014 Z. z. o príspevku poskytovanom z európskych štrukturálnych a investičných fondov a o zmene a doplnení niektorých zákonov v znení neskorších predpisov ako štatutárny orgán bývalého </w:t>
      </w:r>
      <w:r w:rsidRPr="00E24728">
        <w:rPr>
          <w:i/>
        </w:rPr>
        <w:lastRenderedPageBreak/>
        <w:t>sprostredkovateľského orgánu zanikajúceho operačného programu Výskum a inovácie pri dokončovaní konaní, ktoré boli začaté, ale neskončené do zlúčenia operačného programu Výskum a inovácie s operačným programom Integrovaná infraštruktúra (ďalej ako „štatutárny orgán poskytovateľa“)</w:t>
      </w:r>
      <w:r w:rsidRPr="00E24728">
        <w:t xml:space="preserve">“. </w:t>
      </w:r>
    </w:p>
    <w:p w14:paraId="20615FA5" w14:textId="77777777" w:rsidR="00146E8B" w:rsidRPr="00E24728" w:rsidRDefault="00146E8B" w:rsidP="00366198">
      <w:pPr>
        <w:pStyle w:val="Odsekzoznamu"/>
        <w:numPr>
          <w:ilvl w:val="1"/>
          <w:numId w:val="16"/>
        </w:numPr>
        <w:spacing w:before="120" w:after="120"/>
        <w:ind w:left="851" w:hanging="425"/>
        <w:contextualSpacing w:val="0"/>
        <w:jc w:val="both"/>
      </w:pPr>
      <w:r w:rsidRPr="00E24728">
        <w:t xml:space="preserve">Pre </w:t>
      </w:r>
      <w:r w:rsidRPr="00E24728">
        <w:rPr>
          <w:u w:val="single"/>
        </w:rPr>
        <w:t>tzv. dokončovacie konania súvisiace s konaním podľa § 41 a 41a zákona o príspevku z EŠIF</w:t>
      </w:r>
      <w:r w:rsidRPr="00E24728">
        <w:t xml:space="preserve"> (uvedené v § 54 ods. 5) sa daný subjekt označuje v hlavičke daného rozhodnutia takto: </w:t>
      </w:r>
    </w:p>
    <w:p w14:paraId="529EEE3E" w14:textId="77777777" w:rsidR="00146E8B" w:rsidRPr="00E24728" w:rsidRDefault="00146E8B" w:rsidP="00D2218F">
      <w:pPr>
        <w:pStyle w:val="Odsekzoznamu"/>
        <w:numPr>
          <w:ilvl w:val="2"/>
          <w:numId w:val="18"/>
        </w:numPr>
        <w:spacing w:before="120" w:after="120"/>
        <w:ind w:left="1276" w:hanging="425"/>
        <w:contextualSpacing w:val="0"/>
        <w:jc w:val="both"/>
      </w:pPr>
      <w:r w:rsidRPr="00E24728">
        <w:rPr>
          <w:b/>
        </w:rPr>
        <w:t>MŠVVaŠ SR / MH SR / VA</w:t>
      </w:r>
      <w:r w:rsidRPr="00E24728">
        <w:t xml:space="preserve"> (keď konajú ako správne orgány podľa § 41 ods. 5 a 6 a podľa § 41a ods. 3 a 4):</w:t>
      </w:r>
    </w:p>
    <w:p w14:paraId="3626AE4B" w14:textId="3A181BC4" w:rsidR="00146E8B" w:rsidRPr="00E24728" w:rsidRDefault="00146E8B" w:rsidP="00D2218F">
      <w:pPr>
        <w:pStyle w:val="Odsekzoznamu"/>
        <w:spacing w:before="120" w:after="120"/>
        <w:ind w:left="1276"/>
        <w:contextualSpacing w:val="0"/>
        <w:jc w:val="both"/>
      </w:pPr>
      <w:r w:rsidRPr="00E24728">
        <w:t>„</w:t>
      </w:r>
      <w:r w:rsidRPr="00E24728">
        <w:rPr>
          <w:i/>
        </w:rPr>
        <w:t>Správny orgán podľa § 54 ods. 5 v spojení s § 41 ods. 6</w:t>
      </w:r>
      <w:r w:rsidR="00E24728" w:rsidRPr="00E24728">
        <w:rPr>
          <w:rStyle w:val="Odkaznapoznmkupodiarou"/>
          <w:i/>
          <w:color w:val="FF0000"/>
        </w:rPr>
        <w:footnoteReference w:customMarkFollows="1" w:id="5"/>
        <w:t>*</w:t>
      </w:r>
      <w:r w:rsidRPr="00E24728">
        <w:rPr>
          <w:i/>
        </w:rPr>
        <w:t>/ § 41a ods. 4</w:t>
      </w:r>
      <w:r w:rsidR="00E24728" w:rsidRPr="00E24728">
        <w:rPr>
          <w:i/>
          <w:color w:val="FF0000"/>
          <w:vertAlign w:val="superscript"/>
        </w:rPr>
        <w:t>*</w:t>
      </w:r>
      <w:r w:rsidRPr="00E24728">
        <w:rPr>
          <w:i/>
        </w:rPr>
        <w:t xml:space="preserve"> zákona č. 292/2014 Z. z. o príspevku poskytovanom z európskych štrukturálnych a investičných fondov a o zmene a doplnení niektorých zákonov v znení neskorších predpisov pri dokončovaní konaní, ktoré boli začaté, ale neskončené do zlúčenia operačného programu Výskum a inovácie s operačným programom Integrovaná infraštruktúra (ďalej ako „správny orgán“)“</w:t>
      </w:r>
      <w:r w:rsidRPr="00E24728">
        <w:t xml:space="preserve"> </w:t>
      </w:r>
    </w:p>
    <w:p w14:paraId="04F9510F" w14:textId="5E80107B" w:rsidR="00146E8B" w:rsidRPr="00E24728" w:rsidRDefault="00A637A3" w:rsidP="00D2218F">
      <w:pPr>
        <w:pStyle w:val="Odsekzoznamu"/>
        <w:numPr>
          <w:ilvl w:val="2"/>
          <w:numId w:val="18"/>
        </w:numPr>
        <w:spacing w:before="120" w:after="120"/>
        <w:ind w:left="1276" w:hanging="425"/>
        <w:contextualSpacing w:val="0"/>
        <w:jc w:val="both"/>
      </w:pPr>
      <w:r>
        <w:t>vo vzťahu k </w:t>
      </w:r>
      <w:r w:rsidR="00E24728" w:rsidRPr="00E24728">
        <w:t>úkono</w:t>
      </w:r>
      <w:r>
        <w:t>m v súvislosti s identifikovaným porušením pravidiel a postupov verejného obstarávania</w:t>
      </w:r>
      <w:r w:rsidRPr="00E24728" w:rsidDel="00A637A3">
        <w:t xml:space="preserve"> </w:t>
      </w:r>
      <w:r w:rsidRPr="00E24728">
        <w:t>vykonávan</w:t>
      </w:r>
      <w:r>
        <w:t>ým</w:t>
      </w:r>
      <w:r w:rsidRPr="00E24728">
        <w:t xml:space="preserve"> poskytovateľom</w:t>
      </w:r>
      <w:r>
        <w:t xml:space="preserve">  podľa § 41</w:t>
      </w:r>
      <w:r w:rsidR="00E24728" w:rsidRPr="00E24728">
        <w:t xml:space="preserve"> </w:t>
      </w:r>
      <w:r w:rsidR="00146E8B" w:rsidRPr="00E24728">
        <w:t>ods. 1 až 4 a podľa § 41a ods. 1 a</w:t>
      </w:r>
      <w:r>
        <w:t> </w:t>
      </w:r>
      <w:r w:rsidR="00146E8B" w:rsidRPr="00E24728">
        <w:t>2</w:t>
      </w:r>
      <w:r>
        <w:t xml:space="preserve"> zákona o príspevku z EŠIF</w:t>
      </w:r>
      <w:r w:rsidR="00146E8B" w:rsidRPr="00E24728">
        <w:t>, platí princíp univerzálnej sukcesie bez akejkoľvek modifikácie</w:t>
      </w:r>
      <w:r w:rsidR="00157477">
        <w:t>,</w:t>
      </w:r>
      <w:r w:rsidR="00146E8B" w:rsidRPr="00E24728">
        <w:t xml:space="preserve"> t.</w:t>
      </w:r>
      <w:r w:rsidR="00784EF7">
        <w:t xml:space="preserve"> </w:t>
      </w:r>
      <w:r w:rsidR="00146E8B" w:rsidRPr="00E24728">
        <w:t xml:space="preserve">j. poskytovateľ koná spôsobom podľa bodu 3. ďalej a prípadné následné správne konania sa riešia ako nové veci (viď kapitola 3 tohto metodického výkladu).  </w:t>
      </w:r>
    </w:p>
    <w:p w14:paraId="11793D5B" w14:textId="7703ED2B" w:rsidR="00146E8B" w:rsidRPr="00E24728" w:rsidRDefault="00146E8B" w:rsidP="00366198">
      <w:pPr>
        <w:pStyle w:val="Odsekzoznamu"/>
        <w:numPr>
          <w:ilvl w:val="0"/>
          <w:numId w:val="9"/>
        </w:numPr>
        <w:spacing w:before="120" w:after="120"/>
        <w:ind w:left="426" w:hanging="426"/>
        <w:contextualSpacing w:val="0"/>
        <w:jc w:val="both"/>
        <w:rPr>
          <w:b/>
        </w:rPr>
      </w:pPr>
      <w:r w:rsidRPr="00E24728">
        <w:rPr>
          <w:b/>
        </w:rPr>
        <w:t xml:space="preserve">Úkony vykonávané na základe zmluvy o poskytnutí NFP alebo v súvislosti s ňou pri implementácii projektu, resp. pri realizácii práv a povinností na základe rozhodnutia podľa § 16 ods. 2 zákona o príspevku z EŠIF alebo v súvislosti s ním pri implementácii projektu: </w:t>
      </w:r>
      <w:r w:rsidRPr="00E24728">
        <w:t>Vo vzťahu k </w:t>
      </w:r>
      <w:r w:rsidRPr="00E24728">
        <w:rPr>
          <w:u w:val="single"/>
        </w:rPr>
        <w:t>úkonom, postupom, procesom vykonávaným v priebehu implementácie projektu</w:t>
      </w:r>
      <w:r w:rsidRPr="00E24728">
        <w:t>, vrátane kontroly projektu, platí princíp univerzálnej sukcesie bez akejkoľvek modifikácie podľa § 3 ods. 1 písm. l) v spojení s § 54 ods. 8, 10 a 11 zákona o príspevku z EŠIF.</w:t>
      </w:r>
    </w:p>
    <w:p w14:paraId="733387EC" w14:textId="7205281B" w:rsidR="00146E8B" w:rsidRPr="00E24728" w:rsidRDefault="00146E8B" w:rsidP="00366198">
      <w:pPr>
        <w:pStyle w:val="Odsekzoznamu"/>
        <w:numPr>
          <w:ilvl w:val="1"/>
          <w:numId w:val="8"/>
        </w:numPr>
        <w:spacing w:before="120" w:after="120"/>
        <w:ind w:left="851" w:hanging="425"/>
        <w:contextualSpacing w:val="0"/>
        <w:jc w:val="both"/>
      </w:pPr>
      <w:r w:rsidRPr="00CC38FB">
        <w:rPr>
          <w:u w:val="single"/>
        </w:rPr>
        <w:t>Odporúča sa</w:t>
      </w:r>
      <w:r w:rsidRPr="00E24728">
        <w:t xml:space="preserve"> označovať konajúceho poskytovateľa ďalej uvedeným spôsobom, pričom nie je nutné uviesť toto označenie priamo do hlavičky, stačí tak urobiť v texte právneho úkonu, napríklad v návrhu na uzavretie zmluvy, vo výzve na predloženie zmluvy, ktorou sa realizuje požadované zabezpečenie pohľadávky poskytovateľa, v návrhu správy z finančnej kontroly, v správe z finančnej kontroly, v návrhu na uzavretie dodatku k zmluve o NFP a pod. Týka sa vzorov CKO č. 9 až </w:t>
      </w:r>
      <w:r w:rsidR="00E5235D">
        <w:t>12</w:t>
      </w:r>
      <w:r w:rsidRPr="00E24728">
        <w:t xml:space="preserve">. Označovanie sa používa opakovane, do konca predmetného tzv. dokončovacieho konania. V individuálnych prípadoch nie je možné vylúčiť ani jednorazové použitie pri prvom úkone, ak z hľadiska typu úkonu, toho, do akého kontextu sa označenie vloží a popis zlúčenia v kontexte daného konania by bolo takéto opakované označovanie zbytočne komplikované a formalistické. </w:t>
      </w:r>
    </w:p>
    <w:p w14:paraId="1AF26DF6" w14:textId="77777777" w:rsidR="00146E8B" w:rsidRPr="00E24728" w:rsidRDefault="00146E8B" w:rsidP="00B84DA7">
      <w:pPr>
        <w:pStyle w:val="Odsekzoznamu"/>
        <w:spacing w:before="120" w:after="120"/>
        <w:ind w:left="851"/>
        <w:contextualSpacing w:val="0"/>
        <w:jc w:val="both"/>
      </w:pPr>
      <w:r w:rsidRPr="00E24728">
        <w:t xml:space="preserve">Odporúčané označenie je nasledovné: </w:t>
      </w:r>
    </w:p>
    <w:p w14:paraId="61712858" w14:textId="156AB175" w:rsidR="00146E8B" w:rsidRPr="00E24728" w:rsidRDefault="00146E8B" w:rsidP="00B84DA7">
      <w:pPr>
        <w:pStyle w:val="Odsekzoznamu"/>
        <w:spacing w:before="120" w:after="120"/>
        <w:ind w:left="851"/>
        <w:contextualSpacing w:val="0"/>
        <w:jc w:val="both"/>
      </w:pPr>
      <w:r w:rsidRPr="00E24728">
        <w:t>„</w:t>
      </w:r>
      <w:r w:rsidRPr="00E24728">
        <w:rPr>
          <w:b/>
          <w:i/>
        </w:rPr>
        <w:t>Ministerstvo školstva vedy, výskumu a športu SR</w:t>
      </w:r>
      <w:r w:rsidR="006E710E" w:rsidRPr="00E24728">
        <w:rPr>
          <w:i/>
          <w:color w:val="FF0000"/>
          <w:vertAlign w:val="superscript"/>
        </w:rPr>
        <w:t>*</w:t>
      </w:r>
      <w:r w:rsidRPr="00E24728">
        <w:rPr>
          <w:b/>
          <w:i/>
        </w:rPr>
        <w:t xml:space="preserve"> / Ministerstvo hospodárstva SR</w:t>
      </w:r>
      <w:r w:rsidR="006E710E" w:rsidRPr="00E24728">
        <w:rPr>
          <w:i/>
          <w:color w:val="FF0000"/>
          <w:vertAlign w:val="superscript"/>
        </w:rPr>
        <w:t>*</w:t>
      </w:r>
      <w:r w:rsidRPr="00E24728">
        <w:rPr>
          <w:i/>
        </w:rPr>
        <w:t xml:space="preserve"> ako sprostredkovateľský orgán pre operačný program Integrovaná infraštruktúra (ďalej ako „poskytovateľ“), konajúci v mene a na účet Ministerstva dopravy a výstavby SR ako riadiaceho orgánu pre operačný program Integrovaná </w:t>
      </w:r>
      <w:r w:rsidRPr="00E24728">
        <w:rPr>
          <w:i/>
        </w:rPr>
        <w:lastRenderedPageBreak/>
        <w:t>infraštruktúra podľa zmluvy o vykonávaní časti úloh riadiaceho orgánu sprostredkovateľským orgánom, po zlúčení zanikajúceho operačného programu Výskum a inovácie do nástupníckeho operačného programu Integrovaná infraštruktúra, kedy v dôsledku zlúčenia operačných programov došlo k prechodu všetkých práv a povinností z poskytovateľa zanikajúceho operačného programu na poskytovateľa nástupníckeho operačného programu podľa § 3 ods. 1 písm. l) v spojení</w:t>
      </w:r>
      <w:r w:rsidR="006E710E" w:rsidRPr="00E24728">
        <w:rPr>
          <w:rStyle w:val="Odkaznapoznmkupodiarou"/>
          <w:i/>
          <w:color w:val="FF0000"/>
        </w:rPr>
        <w:footnoteReference w:customMarkFollows="1" w:id="6"/>
        <w:t>*</w:t>
      </w:r>
      <w:r w:rsidRPr="00E24728">
        <w:rPr>
          <w:i/>
        </w:rPr>
        <w:t xml:space="preserve"> s § 54 ods. 10 a 11</w:t>
      </w:r>
      <w:r w:rsidR="006E710E" w:rsidRPr="00CC38FB">
        <w:rPr>
          <w:rStyle w:val="Odkaznapoznmkupodiarou"/>
          <w:i/>
          <w:color w:val="00B050"/>
        </w:rPr>
        <w:footnoteReference w:customMarkFollows="1" w:id="7"/>
        <w:t>*</w:t>
      </w:r>
      <w:r w:rsidRPr="00E24728">
        <w:rPr>
          <w:i/>
        </w:rPr>
        <w:t xml:space="preserve"> zákona č. 292/2014 Z. z. o príspevku poskytovanom z európskych štrukturálnych a investičných fondov a o zmene a doplnení niektorých zákonov v znení neskorších predpisov“, </w:t>
      </w:r>
    </w:p>
    <w:p w14:paraId="1EA2EC40" w14:textId="6D7A32CC" w:rsidR="004102E7" w:rsidRPr="004102E7" w:rsidRDefault="00E5235D" w:rsidP="004102E7">
      <w:pPr>
        <w:pStyle w:val="Odsekzoznamu"/>
        <w:numPr>
          <w:ilvl w:val="1"/>
          <w:numId w:val="8"/>
        </w:numPr>
        <w:spacing w:before="120" w:after="120"/>
        <w:ind w:left="851" w:hanging="425"/>
        <w:contextualSpacing w:val="0"/>
        <w:jc w:val="both"/>
      </w:pPr>
      <w:r w:rsidRPr="004102E7">
        <w:t>Vo vzoroch CKO č. 13 a 14 sa uvedie v položke „</w:t>
      </w:r>
      <w:r w:rsidRPr="004102E7">
        <w:rPr>
          <w:color w:val="000000"/>
        </w:rPr>
        <w:t>Názov programu“ označenie nástupníckeho operačného programu (na základe univerzálnej sukcesie) a v zátvorke sa uvedie text: „</w:t>
      </w:r>
      <w:r w:rsidRPr="004102E7">
        <w:rPr>
          <w:i/>
          <w:color w:val="000000"/>
        </w:rPr>
        <w:t xml:space="preserve">po prechode práv a povinností zo Zmluvy o NFP ako je definovaná nižšie </w:t>
      </w:r>
      <w:r w:rsidR="004102E7" w:rsidRPr="004102E7">
        <w:rPr>
          <w:i/>
          <w:color w:val="000000"/>
        </w:rPr>
        <w:t xml:space="preserve">podľa § 54 ods. 11 zákona o príspevku z EŠIF </w:t>
      </w:r>
      <w:r w:rsidRPr="004102E7">
        <w:rPr>
          <w:i/>
          <w:color w:val="000000"/>
        </w:rPr>
        <w:t>po zlúčení operačných programov</w:t>
      </w:r>
      <w:r w:rsidR="004102E7" w:rsidRPr="004102E7">
        <w:rPr>
          <w:i/>
          <w:color w:val="000000"/>
        </w:rPr>
        <w:t xml:space="preserve">“, </w:t>
      </w:r>
      <w:r w:rsidR="004102E7" w:rsidRPr="004102E7">
        <w:rPr>
          <w:color w:val="000000"/>
        </w:rPr>
        <w:t xml:space="preserve">ktoré sa následne identifikujú (v aktuálnom prípade OP VaI do OP II). </w:t>
      </w:r>
      <w:r w:rsidR="004102E7">
        <w:rPr>
          <w:color w:val="000000"/>
        </w:rPr>
        <w:t>Vzhľadom na to, že pojem „Zmluva o NFP“ zahŕňa podľa zavedenej skratky priamo v texte kontrolného zoznamu aj rozhodnutie podľa § 16 ods. 2 zákona o príspevku z EŠIF, vyššie uvedený text je univerzálny.</w:t>
      </w:r>
    </w:p>
    <w:p w14:paraId="4D2597BA" w14:textId="77777777" w:rsidR="00146E8B" w:rsidRPr="00E24728" w:rsidRDefault="00146E8B" w:rsidP="00366198">
      <w:pPr>
        <w:pStyle w:val="Odsekzoznamu"/>
        <w:numPr>
          <w:ilvl w:val="1"/>
          <w:numId w:val="8"/>
        </w:numPr>
        <w:spacing w:before="120" w:after="120"/>
        <w:ind w:left="851" w:hanging="425"/>
        <w:contextualSpacing w:val="0"/>
        <w:jc w:val="both"/>
      </w:pPr>
      <w:r w:rsidRPr="00E24728">
        <w:t xml:space="preserve">Písm. a) vyššie sa netýka vzoru CKO č. 28, kde sa do existujúceho označenia zmluvných strán nezasahuje. Odporúča sa však, aby pri existujúcich zmluvách sa pri najbližšom dodatku zlúčenie uviedlo v záverečných ustanoveniach daného dodatku a pri nových zmluvách, ktoré sa uzatvárajú po zlúčení, ale rozhodnutie ku ktorým bolo vydané ešte pred zlúčením, sa zlúčenie uviedlo do preambuly; nie je to však podmienka, preto sa môže stať, že v niektorých zmluvách o poskytnutí NFP sa zmienka o zlúčení vôbec nebude vyskytovať a aj tento stav je v poriadku. </w:t>
      </w:r>
    </w:p>
    <w:p w14:paraId="363A99A8" w14:textId="77777777" w:rsidR="00146E8B" w:rsidRPr="00E24728" w:rsidRDefault="00146E8B" w:rsidP="00366198">
      <w:pPr>
        <w:pStyle w:val="Odsekzoznamu"/>
        <w:numPr>
          <w:ilvl w:val="1"/>
          <w:numId w:val="8"/>
        </w:numPr>
        <w:spacing w:before="120" w:after="120"/>
        <w:ind w:left="851" w:hanging="425"/>
        <w:contextualSpacing w:val="0"/>
        <w:jc w:val="both"/>
      </w:pPr>
      <w:r w:rsidRPr="00E24728">
        <w:t>Písm. a) vyššie sa netýka ani vzoru CKO č. 30 s poukazom na § 54 ods. 8 a 9 zákona o príspevku z EŠIF. Odporúčanie majúce informačný základ uvedené v písm. b) vyššie k vzoru CKO č. 28 sa uplatní primerane.</w:t>
      </w:r>
    </w:p>
    <w:p w14:paraId="012588C5" w14:textId="7C47FBB9" w:rsidR="00146E8B" w:rsidRDefault="00146E8B" w:rsidP="00366198">
      <w:pPr>
        <w:pStyle w:val="Odsekzoznamu"/>
        <w:numPr>
          <w:ilvl w:val="1"/>
          <w:numId w:val="8"/>
        </w:numPr>
        <w:spacing w:before="120" w:after="120"/>
        <w:ind w:left="851" w:hanging="425"/>
        <w:contextualSpacing w:val="0"/>
        <w:jc w:val="both"/>
      </w:pPr>
      <w:r w:rsidRPr="00E24728">
        <w:t>V implementácii sa pokračuje ďalej (napr. nezúčtované predfinancovania alebo zálohové platby sa zúčtujú podľa nezmenených podmienok)</w:t>
      </w:r>
      <w:r w:rsidR="00121F59">
        <w:t>, práva a záväzky z nezrovnalostí a z vysporiadania finančných vzťahov sa riešia podľa ustanovení § 54 ods. 12, vo vnútornom vzťahu poskytovateľov podľa § 7 ods. 12 a 8 ods. 8 zákona o príspevku z EŠIF (bližšie pravidlá sú uvedené v dôvodovej správe k zák</w:t>
      </w:r>
      <w:r w:rsidR="00A367CC">
        <w:t>onu</w:t>
      </w:r>
      <w:r w:rsidR="00121F59">
        <w:t xml:space="preserve"> č. 461/2019 Z. z.)</w:t>
      </w:r>
      <w:r w:rsidRPr="00E24728">
        <w:t>.</w:t>
      </w:r>
    </w:p>
    <w:p w14:paraId="7090E6FC" w14:textId="0D759038" w:rsidR="00C63CAD" w:rsidRPr="00E24728" w:rsidRDefault="00C63CAD" w:rsidP="00366198">
      <w:pPr>
        <w:pStyle w:val="Odsekzoznamu"/>
        <w:numPr>
          <w:ilvl w:val="1"/>
          <w:numId w:val="8"/>
        </w:numPr>
        <w:spacing w:before="120" w:after="120"/>
        <w:ind w:left="851" w:hanging="425"/>
        <w:contextualSpacing w:val="0"/>
        <w:jc w:val="both"/>
      </w:pPr>
      <w:r w:rsidRPr="00636139">
        <w:t xml:space="preserve">Vo vzťahu k už vystaveným zmenkám – </w:t>
      </w:r>
      <w:r w:rsidR="003C2FE3">
        <w:t xml:space="preserve">vychádzajúc z </w:t>
      </w:r>
      <w:r w:rsidRPr="00B57C4C">
        <w:t>princíp</w:t>
      </w:r>
      <w:r w:rsidR="003C2FE3">
        <w:t>u</w:t>
      </w:r>
      <w:r w:rsidRPr="00B57C4C">
        <w:t xml:space="preserve"> univerzálnej sukcesie, v zmysle ktorého </w:t>
      </w:r>
      <w:r w:rsidR="00636139" w:rsidRPr="00636139">
        <w:rPr>
          <w:color w:val="494949"/>
        </w:rPr>
        <w:t>riadenie zanikajúceho operačného programu</w:t>
      </w:r>
      <w:r w:rsidR="00636139">
        <w:rPr>
          <w:color w:val="494949"/>
        </w:rPr>
        <w:t xml:space="preserve">, s ktorým je priamo spojená aj správa pohľadávok štátu vzniknutých z tohto operačného programu, </w:t>
      </w:r>
      <w:r w:rsidR="00636139" w:rsidRPr="00636139">
        <w:rPr>
          <w:color w:val="494949"/>
        </w:rPr>
        <w:t xml:space="preserve"> prechádza na riadiaci orgán nástupníckeho operačného programu, ktorý je právnym nástupcom riadiaceho orgánu zanikajúceho operačného programu v celom rozsahu, </w:t>
      </w:r>
      <w:r w:rsidR="00636139">
        <w:rPr>
          <w:color w:val="494949"/>
        </w:rPr>
        <w:t xml:space="preserve">nie je potrebné vo vzťahu k už vystaveným zmenkám a s nimi súvisiacim zmluvám o vyplňovacom práve vykonávať akékoľvek ďalšie právne úkony. </w:t>
      </w:r>
      <w:r w:rsidR="003C2FE3">
        <w:rPr>
          <w:color w:val="494949"/>
        </w:rPr>
        <w:t>To znamená, že ak je</w:t>
      </w:r>
      <w:r w:rsidRPr="00636139">
        <w:t xml:space="preserve"> majiteľom zmenky Slovenská republika ako nositeľ hmotného práva</w:t>
      </w:r>
      <w:r w:rsidR="00B57C4C">
        <w:t xml:space="preserve"> a</w:t>
      </w:r>
      <w:r w:rsidRPr="00636139">
        <w:t xml:space="preserve"> vlastník </w:t>
      </w:r>
      <w:r>
        <w:t xml:space="preserve">pohľadávky vzniknutej podľa zákona 292/2014 Z. z. z príspevku alebo </w:t>
      </w:r>
      <w:r>
        <w:lastRenderedPageBreak/>
        <w:t>rozhodn</w:t>
      </w:r>
      <w:r w:rsidR="00B57C4C">
        <w:t>utia a</w:t>
      </w:r>
      <w:r>
        <w:t xml:space="preserve"> riadiaci orgán j</w:t>
      </w:r>
      <w:r w:rsidR="00B57C4C">
        <w:t>e len správcom tejto pohľadávky,</w:t>
      </w:r>
      <w:r w:rsidR="00B71D00">
        <w:t xml:space="preserve"> </w:t>
      </w:r>
      <w:r w:rsidR="00B71D00" w:rsidRPr="00B71D00">
        <w:rPr>
          <w:b/>
        </w:rPr>
        <w:t>z</w:t>
      </w:r>
      <w:r w:rsidRPr="00B57C4C">
        <w:rPr>
          <w:b/>
        </w:rPr>
        <w:t>lúčením operačných programov nedochádza k zmene</w:t>
      </w:r>
      <w:r>
        <w:t xml:space="preserve"> vlastníka pohľadávky vzniknutej podľa osobitného predpisu 292/2014 Z. z., a teda ani k zmene </w:t>
      </w:r>
      <w:r w:rsidRPr="00B57C4C">
        <w:rPr>
          <w:b/>
        </w:rPr>
        <w:t xml:space="preserve">majiteľa zmenky, </w:t>
      </w:r>
      <w:r w:rsidRPr="00C011AD">
        <w:rPr>
          <w:b/>
        </w:rPr>
        <w:t>len k zmene správcu pohľadávky</w:t>
      </w:r>
      <w:r>
        <w:rPr>
          <w:b/>
        </w:rPr>
        <w:t xml:space="preserve"> štátu</w:t>
      </w:r>
      <w:r>
        <w:t xml:space="preserve"> zabezpečenej zmenkou</w:t>
      </w:r>
      <w:r w:rsidR="003C2FE3">
        <w:t>, a to prechodom (zo zákona), nie prevodom</w:t>
      </w:r>
      <w:r>
        <w:t>. Právne úkony a ich účinky predchádzajúceho správcu</w:t>
      </w:r>
      <w:r w:rsidR="00B57C4C">
        <w:t xml:space="preserve"> pohľadávky</w:t>
      </w:r>
      <w:r>
        <w:t xml:space="preserve"> – riadiaceho orgánu zanikajúceho operačného programu pritom ostávajú zo zákona zachované s tým, že riadiaci orgán nástupníckeho operačného </w:t>
      </w:r>
      <w:r w:rsidR="00636139">
        <w:t>programu</w:t>
      </w:r>
      <w:r>
        <w:t xml:space="preserve"> sa priamo zo zákona stáva novým správcom pohľadáv</w:t>
      </w:r>
      <w:r w:rsidR="00B57C4C">
        <w:t>ok</w:t>
      </w:r>
      <w:r>
        <w:t xml:space="preserve"> štátu</w:t>
      </w:r>
      <w:r w:rsidR="00B57C4C">
        <w:t xml:space="preserve"> vzniknutých zo zanikajúceho operačného programu,</w:t>
      </w:r>
      <w:r>
        <w:t xml:space="preserve"> so všetkými právami a povinnosťami s tým spojenými</w:t>
      </w:r>
      <w:r w:rsidR="00B57C4C">
        <w:t>, vrátane práv spojených s uplatnením zmenky, vystavenej na zabezpečenie pohľadávok, ktoré riadiaci orgán spravuje</w:t>
      </w:r>
      <w:r>
        <w:t xml:space="preserve">. </w:t>
      </w:r>
    </w:p>
    <w:p w14:paraId="1A43BE2C" w14:textId="722A76F4" w:rsidR="0012210D" w:rsidRDefault="00146E8B" w:rsidP="00366198">
      <w:pPr>
        <w:pStyle w:val="Odsekzoznamu"/>
        <w:numPr>
          <w:ilvl w:val="0"/>
          <w:numId w:val="9"/>
        </w:numPr>
        <w:spacing w:before="120" w:after="120"/>
        <w:ind w:left="426" w:hanging="426"/>
        <w:contextualSpacing w:val="0"/>
        <w:jc w:val="both"/>
      </w:pPr>
      <w:r w:rsidRPr="00E24728">
        <w:t>V nadväznosti na § 7 ods. 12 a § 8 ods. 8 zákona o príspevku z</w:t>
      </w:r>
      <w:r w:rsidR="0012210D">
        <w:t> </w:t>
      </w:r>
      <w:r w:rsidRPr="00E24728">
        <w:t>EŠIF</w:t>
      </w:r>
      <w:r w:rsidR="0012210D">
        <w:t xml:space="preserve"> vo vzťahu ku: </w:t>
      </w:r>
    </w:p>
    <w:p w14:paraId="03FCF178" w14:textId="5B03A8AB" w:rsidR="0012210D" w:rsidRPr="00A637A3" w:rsidRDefault="0012210D" w:rsidP="00230080">
      <w:pPr>
        <w:pStyle w:val="Odsekzoznamu"/>
        <w:numPr>
          <w:ilvl w:val="0"/>
          <w:numId w:val="19"/>
        </w:numPr>
        <w:spacing w:before="120" w:after="120"/>
        <w:ind w:left="851" w:hanging="425"/>
        <w:contextualSpacing w:val="0"/>
        <w:jc w:val="both"/>
      </w:pPr>
      <w:r w:rsidRPr="0012210D">
        <w:t xml:space="preserve">prijímaniu </w:t>
      </w:r>
      <w:r w:rsidR="00146E8B" w:rsidRPr="0012210D">
        <w:t>nápravných opatrení na odstránenie alebo predchádzanie identifikovaným nedostatkom zabezpečí poskytovateľ zanikajúceho operačného programu vedenie riadiacej dokumentácie (napr. manuál procedúr) aj pre konania pod</w:t>
      </w:r>
      <w:r w:rsidR="00146E8B" w:rsidRPr="00A637A3">
        <w:t>ľa § 7 ods. 11, resp. § 8 ods. 7 a § 54  zákona o príspevku z EŠIF. Uvedená povinnosť môže byť splnená aj v rámci príslušnej riadiacej dokumentácie  vypracovanej pre nástupnícky operačný program jej rovnakým alebo primeraným uplatnením</w:t>
      </w:r>
      <w:r w:rsidRPr="00A637A3">
        <w:t xml:space="preserve">, </w:t>
      </w:r>
    </w:p>
    <w:p w14:paraId="17FC8CAA" w14:textId="366A9BA9" w:rsidR="00146E8B" w:rsidRPr="00CC38FB" w:rsidRDefault="0012210D" w:rsidP="00230080">
      <w:pPr>
        <w:pStyle w:val="Odsekzoznamu"/>
        <w:numPr>
          <w:ilvl w:val="0"/>
          <w:numId w:val="19"/>
        </w:numPr>
        <w:spacing w:before="120" w:after="120"/>
        <w:ind w:left="851" w:hanging="425"/>
        <w:contextualSpacing w:val="0"/>
        <w:jc w:val="both"/>
      </w:pPr>
      <w:r w:rsidRPr="00CC38FB">
        <w:t>prechodu správy pohľadávok z príspevku alebo pohľadávok z rozhodnutia podľa § 41 / § 41a alebo rozhodnutia o porušení finančnej disciplíny upravených podľa § 44 ods. 2 zákona o príspevku z EŠIF sa uplatňuje univerzálna sukcesia podľa podmienok zákona č. 461/2019 Z. z. Pohľadávky a záväzky, ktoré mal v správe riadiaci orgán zanikajúceho operačného programu, prechádzajú zlúčením operačných programov do správy riadiaceho orgánu nástupníckeho operačného programu. O pohľadávkach z príspevku alebo pohľadávkach z rozhodnutia týkajúcich sa prostriedkov štátneho rozpočtu alebo prostriedkov Európskej únie neschválených certifikačným orgánom vzniknutých pred zlúčením operačného programu účtuje naďalej platobná jednotka zanikajúceho operačného programu</w:t>
      </w:r>
    </w:p>
    <w:p w14:paraId="4EAD17D8" w14:textId="1CCEA3AA" w:rsidR="00146E8B" w:rsidRPr="00E24728" w:rsidRDefault="00146E8B" w:rsidP="00146E8B">
      <w:pPr>
        <w:tabs>
          <w:tab w:val="left" w:pos="567"/>
        </w:tabs>
        <w:ind w:left="567" w:hanging="567"/>
        <w:jc w:val="both"/>
        <w:rPr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</w:pPr>
      <w:r w:rsidRPr="00E24728">
        <w:rPr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  <w:t xml:space="preserve">5 </w:t>
      </w:r>
      <w:r w:rsidRPr="00E24728">
        <w:rPr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  <w:tab/>
        <w:t>Implementácia vo veciach, ktoré začali pred účinnosťou zlúčenia operačných programov a boli realizované v tzv. medziobdobí medzi účinnosťou zlúčenia OP VaI do OP II a nadobudnutím účinnosti zákona č. 461/2019 Z. z. a následne aj po nadobudnutí účinnosti uvedeného zákona</w:t>
      </w:r>
    </w:p>
    <w:p w14:paraId="6178A6C0" w14:textId="32E27FAE" w:rsidR="00146E8B" w:rsidRPr="00E24728" w:rsidRDefault="00146E8B" w:rsidP="00366198">
      <w:pPr>
        <w:pStyle w:val="Odsekzoznamu"/>
        <w:numPr>
          <w:ilvl w:val="0"/>
          <w:numId w:val="10"/>
        </w:numPr>
        <w:spacing w:before="120" w:after="120"/>
        <w:ind w:left="425" w:hanging="425"/>
        <w:contextualSpacing w:val="0"/>
        <w:jc w:val="both"/>
        <w:rPr>
          <w:color w:val="000000"/>
        </w:rPr>
      </w:pPr>
      <w:r w:rsidRPr="00E24728">
        <w:t>Výklad týkajúci sa tzv. medziobdobia, t.</w:t>
      </w:r>
      <w:r w:rsidR="00784EF7">
        <w:t xml:space="preserve"> </w:t>
      </w:r>
      <w:r w:rsidRPr="00E24728">
        <w:t xml:space="preserve">j. času </w:t>
      </w:r>
      <w:r w:rsidRPr="00E24728">
        <w:rPr>
          <w:color w:val="000000"/>
        </w:rPr>
        <w:t>medzi účinnosťou zmeny operačných programov a účinnosťou zák</w:t>
      </w:r>
      <w:r w:rsidR="00C427F7">
        <w:rPr>
          <w:color w:val="000000"/>
        </w:rPr>
        <w:t>ona</w:t>
      </w:r>
      <w:r w:rsidRPr="00E24728">
        <w:rPr>
          <w:color w:val="000000"/>
        </w:rPr>
        <w:t xml:space="preserve"> č. 461/2019 Z. z. (uvedené obdobie sa ďalej označuje ako „medziobdobie“), sa špecificky týka iba zlúčenia OP VaI do OP II, a teda nemá všeobecný charakter, teda nebude aplikovaný na žiadne iné zlúčenie. Preto sa aj všetky uvádzané skutočnosti viažu výlučne na uvedené konkrétne zlúčenie. </w:t>
      </w:r>
    </w:p>
    <w:p w14:paraId="6CA1FDD9" w14:textId="142B58F5" w:rsidR="00146E8B" w:rsidRPr="00E24728" w:rsidRDefault="00146E8B" w:rsidP="00366198">
      <w:pPr>
        <w:pStyle w:val="Odsekzoznamu"/>
        <w:numPr>
          <w:ilvl w:val="0"/>
          <w:numId w:val="10"/>
        </w:numPr>
        <w:spacing w:before="120" w:after="120"/>
        <w:ind w:left="425" w:hanging="425"/>
        <w:contextualSpacing w:val="0"/>
        <w:jc w:val="both"/>
      </w:pPr>
      <w:r w:rsidRPr="00E24728">
        <w:t xml:space="preserve">Na </w:t>
      </w:r>
      <w:r w:rsidRPr="00E24728">
        <w:rPr>
          <w:color w:val="000000"/>
        </w:rPr>
        <w:t xml:space="preserve">otázky poskytovateľov týkajúce sa možností ich konania, resp. postupu pri poskytovaní príspevkov v medziobdobí CKO reagoval vydaním metodického usmernenia z 20.12.2019. Predmetné usmernenie obsahuje základný rámec možností postupu poskytovateľov zaniknutého OP VaI v základných okruhoch realizovaných pri poskytovaní príspevku v časti verejnoprávnej (pri konaní o žiadosti a pri riešení opravných prostriedkov) a v časti </w:t>
      </w:r>
      <w:r w:rsidRPr="00E24728">
        <w:rPr>
          <w:color w:val="000000"/>
        </w:rPr>
        <w:lastRenderedPageBreak/>
        <w:t>súkromnoprávnej (úkonoch a postupoch vykonávaných na základe alebo v súlade so zmluvou o poskytnutí NFP, vrátane kontraktačného procesu). Na uvedené usmernenie sa v plnej miere odkazuje aj v tomto výklade, na základe čoho sa usmernenie prikladá ako samostatná príloha</w:t>
      </w:r>
      <w:r w:rsidR="00B02AC9">
        <w:rPr>
          <w:color w:val="000000"/>
        </w:rPr>
        <w:t xml:space="preserve"> č. 2</w:t>
      </w:r>
      <w:r w:rsidRPr="00E24728">
        <w:rPr>
          <w:color w:val="000000"/>
        </w:rPr>
        <w:t xml:space="preserve"> tohto výkladu. </w:t>
      </w:r>
    </w:p>
    <w:p w14:paraId="1D944F77" w14:textId="474EFB23" w:rsidR="00146E8B" w:rsidRPr="00E24728" w:rsidRDefault="00146E8B" w:rsidP="00146E8B">
      <w:pPr>
        <w:pStyle w:val="MPCKO1"/>
        <w:tabs>
          <w:tab w:val="left" w:pos="567"/>
        </w:tabs>
        <w:ind w:left="567" w:hanging="567"/>
        <w:jc w:val="both"/>
      </w:pPr>
      <w:bookmarkStart w:id="7" w:name="_Toc31042598"/>
      <w:r w:rsidRPr="00E24728">
        <w:t xml:space="preserve">6 </w:t>
      </w:r>
      <w:r w:rsidRPr="00E24728">
        <w:tab/>
        <w:t>Úprava vzorov CKO vydávaných k Systému riadenia európskych štrukturálnych a investičných fondov.</w:t>
      </w:r>
      <w:bookmarkEnd w:id="7"/>
    </w:p>
    <w:p w14:paraId="5DB955C8" w14:textId="77777777" w:rsidR="00146E8B" w:rsidRPr="00E24728" w:rsidRDefault="00146E8B" w:rsidP="00366198">
      <w:pPr>
        <w:pStyle w:val="Odsekzoznamu"/>
        <w:numPr>
          <w:ilvl w:val="0"/>
          <w:numId w:val="11"/>
        </w:numPr>
        <w:spacing w:before="120" w:after="120"/>
        <w:ind w:left="425" w:hanging="425"/>
        <w:contextualSpacing w:val="0"/>
        <w:jc w:val="both"/>
      </w:pPr>
      <w:r w:rsidRPr="00E24728">
        <w:t xml:space="preserve">Vo všeobecnosti sa v dôsledku zlúčenia nemení obsah vzorov CKO č. 19, 20 a 22, ani vzorov CKO č. 9 až 14. </w:t>
      </w:r>
    </w:p>
    <w:p w14:paraId="2A1CB36C" w14:textId="77777777" w:rsidR="00146E8B" w:rsidRPr="00E24728" w:rsidRDefault="00146E8B" w:rsidP="00366198">
      <w:pPr>
        <w:pStyle w:val="Odsekzoznamu"/>
        <w:numPr>
          <w:ilvl w:val="0"/>
          <w:numId w:val="11"/>
        </w:numPr>
        <w:spacing w:before="120" w:after="120"/>
        <w:ind w:left="425" w:hanging="425"/>
        <w:contextualSpacing w:val="0"/>
        <w:jc w:val="both"/>
      </w:pPr>
      <w:r w:rsidRPr="00E24728">
        <w:t xml:space="preserve">Vo vzťahu k zlúčeniu OP VaI do OP II sa tiež vzory CKO č. 19, 20 a 22, ani vzory CKO č. 9 až 14 nemenia, keďže majú všeobecný charakter, pokiaľ ide o označenie konajúceho orgánu. Z kapitoly 4 tohto metodického výkladu poskytovateľ vyberie také označenie konajúceho orgánu, ktoré sa ho týka (týka sa bodu 2 z kapitoly 4), resp. postupuje tam odporúčaným spôsobom (týka sa bodu 3 z kapitoly 4). </w:t>
      </w:r>
    </w:p>
    <w:p w14:paraId="2A1C00F1" w14:textId="22D6A8B2" w:rsidR="00146E8B" w:rsidRPr="00E24728" w:rsidRDefault="00146E8B" w:rsidP="00146E8B">
      <w:pPr>
        <w:pStyle w:val="MPCKO1"/>
        <w:tabs>
          <w:tab w:val="left" w:pos="567"/>
        </w:tabs>
        <w:ind w:left="567" w:hanging="567"/>
        <w:jc w:val="both"/>
      </w:pPr>
      <w:bookmarkStart w:id="8" w:name="_Toc31042599"/>
      <w:r w:rsidRPr="00E24728">
        <w:t xml:space="preserve">7 </w:t>
      </w:r>
      <w:r w:rsidRPr="00E24728">
        <w:tab/>
        <w:t>Príklady</w:t>
      </w:r>
      <w:bookmarkEnd w:id="8"/>
    </w:p>
    <w:p w14:paraId="0F5CD4B4" w14:textId="2CCB6AF5" w:rsidR="00146E8B" w:rsidRPr="00E24728" w:rsidRDefault="00146E8B" w:rsidP="00CC38FB">
      <w:pPr>
        <w:pStyle w:val="Odsekzoznamu"/>
        <w:numPr>
          <w:ilvl w:val="3"/>
          <w:numId w:val="27"/>
        </w:numPr>
        <w:spacing w:before="120" w:after="120"/>
        <w:ind w:left="426" w:hanging="426"/>
        <w:contextualSpacing w:val="0"/>
        <w:jc w:val="both"/>
      </w:pPr>
      <w:r w:rsidRPr="00E24728">
        <w:t>V procese administratívnej finančnej kontroly, ktorá začala pred účinnosťou zlúčenia</w:t>
      </w:r>
      <w:r w:rsidR="00B84DA7" w:rsidRPr="00E24728">
        <w:t xml:space="preserve"> a</w:t>
      </w:r>
      <w:r w:rsidRPr="00E24728">
        <w:t xml:space="preserve"> </w:t>
      </w:r>
      <w:r w:rsidR="00B84DA7" w:rsidRPr="00E24728">
        <w:t xml:space="preserve">dochádza </w:t>
      </w:r>
      <w:r w:rsidR="00BF44DB">
        <w:t xml:space="preserve">k </w:t>
      </w:r>
      <w:r w:rsidRPr="00E24728">
        <w:t>vydaniu návrhu správy z</w:t>
      </w:r>
      <w:r w:rsidR="00885462">
        <w:t> </w:t>
      </w:r>
      <w:r w:rsidRPr="00E24728">
        <w:t>kontroly</w:t>
      </w:r>
      <w:r w:rsidR="00885462">
        <w:t>/správy z kontroly</w:t>
      </w:r>
      <w:r w:rsidRPr="00E24728">
        <w:t xml:space="preserve"> po účinnosti zákona č. 461/2019 Z. z. vo vzťahu k projektu </w:t>
      </w:r>
      <w:r w:rsidR="00B84DA7" w:rsidRPr="00E24728">
        <w:t>pôvodne financovaného z OP VaI:</w:t>
      </w:r>
    </w:p>
    <w:p w14:paraId="7758A4E0" w14:textId="0B27D2A4" w:rsidR="00146E8B" w:rsidRDefault="00146E8B" w:rsidP="00CC38FB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</w:pPr>
      <w:r w:rsidRPr="00E24728">
        <w:t>kontrola prebieha a sa ukončí na základe riadiacej dokumentácie k OP VaI bez ohľadu na to, či je alebo nie je formálne zmenené jej označenie na OP II po účinnosti zlúčenia (k</w:t>
      </w:r>
      <w:r w:rsidR="00B84DA7" w:rsidRPr="00E24728">
        <w:t xml:space="preserve">apitola 2 </w:t>
      </w:r>
      <w:r w:rsidR="005C5900">
        <w:t>ods.</w:t>
      </w:r>
      <w:r w:rsidR="00B84DA7" w:rsidRPr="00E24728">
        <w:t xml:space="preserve"> 3 tohto</w:t>
      </w:r>
      <w:r w:rsidR="005C5900">
        <w:t xml:space="preserve"> metodického</w:t>
      </w:r>
      <w:r w:rsidR="00B84DA7" w:rsidRPr="00E24728">
        <w:t xml:space="preserve"> výkladu),</w:t>
      </w:r>
    </w:p>
    <w:p w14:paraId="1EBA1B04" w14:textId="12D2F21A" w:rsidR="00146E8B" w:rsidRDefault="00146E8B" w:rsidP="00CC38FB">
      <w:pPr>
        <w:pStyle w:val="Odsekzoznamu"/>
        <w:numPr>
          <w:ilvl w:val="0"/>
          <w:numId w:val="28"/>
        </w:numPr>
        <w:spacing w:before="120" w:after="120"/>
        <w:ind w:left="851" w:hanging="425"/>
        <w:contextualSpacing w:val="0"/>
        <w:jc w:val="both"/>
      </w:pPr>
      <w:r w:rsidRPr="00E24728">
        <w:t>v návrhu správy z</w:t>
      </w:r>
      <w:r w:rsidR="00885462">
        <w:t> </w:t>
      </w:r>
      <w:r w:rsidRPr="00E24728">
        <w:t>kontroly</w:t>
      </w:r>
      <w:r w:rsidR="00885462">
        <w:t>/správe</w:t>
      </w:r>
      <w:r w:rsidRPr="00E24728">
        <w:t xml:space="preserve"> </w:t>
      </w:r>
      <w:r w:rsidR="00885462">
        <w:t xml:space="preserve">z kontroly </w:t>
      </w:r>
      <w:r w:rsidRPr="00E24728">
        <w:t xml:space="preserve">je nutné reagovať na aktuálnu situáciu spôsobom, ako je uvedené v kapitole 4 </w:t>
      </w:r>
      <w:r w:rsidR="005C5900">
        <w:t>ods.</w:t>
      </w:r>
      <w:r w:rsidRPr="00E24728">
        <w:t xml:space="preserve"> 3 tohto metodického výkladu, a to pokiaľ ide o označenie konajúceho subjektu a obsahu návrhu správy</w:t>
      </w:r>
      <w:r w:rsidR="00885462">
        <w:t>/správy</w:t>
      </w:r>
      <w:r w:rsidRPr="00E24728">
        <w:t xml:space="preserve"> reagujúcej na zlúčenie operačných programov.</w:t>
      </w:r>
    </w:p>
    <w:p w14:paraId="7FE7427B" w14:textId="11EE57D3" w:rsidR="0012210D" w:rsidRPr="00E24728" w:rsidRDefault="0012210D" w:rsidP="00CC38FB">
      <w:pPr>
        <w:pStyle w:val="Odsekzoznamu"/>
        <w:numPr>
          <w:ilvl w:val="3"/>
          <w:numId w:val="27"/>
        </w:numPr>
        <w:spacing w:before="120" w:after="120"/>
        <w:ind w:left="426" w:hanging="426"/>
        <w:contextualSpacing w:val="0"/>
        <w:jc w:val="both"/>
      </w:pPr>
      <w:r>
        <w:t xml:space="preserve">Vo vzťahu k publicite a informovanosti - nie je potrebné upravovať/meniť/nahrádzať predmety používané za účelom publicity ako výdavky realizované napr. v rámci národných projektov novými dizajnmi a označovaním nástupníckeho OP, postačuje ponechať status quo, v nadväznosti na princíp univerzálnej sukcesie a fakt, že </w:t>
      </w:r>
      <w:r w:rsidR="00A637A3">
        <w:t xml:space="preserve">informácia vždy obsahuje odkaz na financovanie z fondov EÚ, čo je z hľadiska EÚ kľúčová podmienka. </w:t>
      </w:r>
    </w:p>
    <w:p w14:paraId="1463BF3D" w14:textId="012B1CA2" w:rsidR="00146E8B" w:rsidRPr="00E24728" w:rsidRDefault="00146E8B" w:rsidP="00146E8B">
      <w:pPr>
        <w:pStyle w:val="MPCKO1"/>
        <w:tabs>
          <w:tab w:val="left" w:pos="567"/>
        </w:tabs>
        <w:ind w:left="567" w:hanging="567"/>
        <w:jc w:val="both"/>
      </w:pPr>
      <w:bookmarkStart w:id="9" w:name="_Toc31042600"/>
      <w:r w:rsidRPr="00E24728">
        <w:t xml:space="preserve">8 </w:t>
      </w:r>
      <w:r w:rsidRPr="00E24728">
        <w:tab/>
        <w:t>ITMS2014+</w:t>
      </w:r>
      <w:bookmarkEnd w:id="9"/>
    </w:p>
    <w:p w14:paraId="51AC3EAE" w14:textId="5A339CC2" w:rsidR="00146E8B" w:rsidRPr="00E24728" w:rsidRDefault="00146E8B" w:rsidP="00366198">
      <w:pPr>
        <w:pStyle w:val="Odsekzoznamu"/>
        <w:numPr>
          <w:ilvl w:val="0"/>
          <w:numId w:val="13"/>
        </w:numPr>
        <w:spacing w:before="120" w:after="120"/>
        <w:ind w:left="426" w:hanging="426"/>
        <w:contextualSpacing w:val="0"/>
        <w:jc w:val="both"/>
      </w:pPr>
      <w:r w:rsidRPr="00E24728">
        <w:t xml:space="preserve">V nadväznosti na § 54 ods. 13 zákona o príspevku </w:t>
      </w:r>
      <w:r w:rsidR="00C427F7">
        <w:t>z EŠIF</w:t>
      </w:r>
      <w:r w:rsidRPr="00E24728">
        <w:t xml:space="preserve"> výstupy z ITMS2014+ (napr. žiadosti o platbu, monitorovacie správy</w:t>
      </w:r>
      <w:r w:rsidR="004E5A12">
        <w:t>, správy o zistených nezrovnalostiach, pohľadávkové doklady</w:t>
      </w:r>
      <w:r w:rsidR="00627723">
        <w:t xml:space="preserve">, </w:t>
      </w:r>
      <w:r w:rsidR="00627723" w:rsidRPr="00627723">
        <w:t>príloha č. 2 Zmluvy o poskytnutí NFP Predmet podpory</w:t>
      </w:r>
      <w:r w:rsidRPr="00627723">
        <w:t>)</w:t>
      </w:r>
      <w:r w:rsidRPr="00E24728">
        <w:t xml:space="preserve"> vytvorené po zlúčení operačných programov v prechodnom období nesúce označenie alebo odkaz na zanikajúci operačný program sa považujú za výstupy v rámci nástupníckeho operačného programu.</w:t>
      </w:r>
    </w:p>
    <w:p w14:paraId="6D5530B2" w14:textId="3CF975B8" w:rsidR="00146E8B" w:rsidRPr="00E24728" w:rsidRDefault="00146E8B" w:rsidP="00146E8B">
      <w:pPr>
        <w:pStyle w:val="MPCKO1"/>
        <w:tabs>
          <w:tab w:val="left" w:pos="567"/>
        </w:tabs>
        <w:ind w:left="567" w:hanging="567"/>
        <w:jc w:val="both"/>
      </w:pPr>
      <w:bookmarkStart w:id="10" w:name="_Toc31042601"/>
      <w:r w:rsidRPr="00E24728">
        <w:lastRenderedPageBreak/>
        <w:t xml:space="preserve">9 </w:t>
      </w:r>
      <w:r w:rsidRPr="00E24728">
        <w:tab/>
        <w:t>Prílohy</w:t>
      </w:r>
      <w:bookmarkEnd w:id="10"/>
    </w:p>
    <w:p w14:paraId="783A0EDA" w14:textId="77777777" w:rsidR="00146E8B" w:rsidRPr="00E24728" w:rsidRDefault="00146E8B" w:rsidP="00366198">
      <w:pPr>
        <w:pStyle w:val="Odsekzoznamu"/>
        <w:numPr>
          <w:ilvl w:val="0"/>
          <w:numId w:val="14"/>
        </w:numPr>
        <w:spacing w:before="120" w:after="120"/>
        <w:ind w:left="426" w:hanging="426"/>
        <w:contextualSpacing w:val="0"/>
        <w:jc w:val="both"/>
      </w:pPr>
      <w:r w:rsidRPr="00E24728">
        <w:t>Pracovná pomôcka - prevodník toho, ktorý subjekt za OP VaI koná v akom postavení v rámci OP II v dôsledku zlúčenia v procesoch, vzťahoch, úkonoch a zodpovednostiach, ktoré existovali ku dňu zlúčenia operačných programov. </w:t>
      </w:r>
    </w:p>
    <w:p w14:paraId="4053BA16" w14:textId="1F0F1A31" w:rsidR="00280D2B" w:rsidRPr="00E24728" w:rsidRDefault="00146E8B" w:rsidP="00280D2B">
      <w:pPr>
        <w:pStyle w:val="Odsekzoznamu"/>
        <w:numPr>
          <w:ilvl w:val="0"/>
          <w:numId w:val="14"/>
        </w:numPr>
        <w:spacing w:before="120" w:after="120"/>
        <w:ind w:left="426" w:hanging="426"/>
        <w:contextualSpacing w:val="0"/>
        <w:jc w:val="both"/>
      </w:pPr>
      <w:r w:rsidRPr="00E24728">
        <w:t>Metodické usmernenie k postupom poskytovateľov v situácii, keď došlo k schváleniu zmeny operačných programov spočívajúcich v zlúčení OP VaI do OP II, ale súčasne nie je účinná novela zák. č. 292/2014 Z. z. viažuce sa k obdobiu medzi účinnosťou zmeny operačných programov a úč</w:t>
      </w:r>
      <w:r w:rsidR="00784EF7">
        <w:t>innosťou zák. č. 461/2019 Z. z.</w:t>
      </w:r>
    </w:p>
    <w:p w14:paraId="5BA0E411" w14:textId="77777777" w:rsidR="00280D2B" w:rsidRPr="00E24728" w:rsidRDefault="00280D2B" w:rsidP="00280D2B"/>
    <w:sectPr w:rsidR="00280D2B" w:rsidRPr="00E24728" w:rsidSect="00304A4F">
      <w:headerReference w:type="default" r:id="rId10"/>
      <w:footerReference w:type="default" r:id="rId11"/>
      <w:type w:val="continuous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9619FE" w14:textId="77777777" w:rsidR="00474DC3" w:rsidRDefault="00474DC3" w:rsidP="00B948E0">
      <w:r>
        <w:separator/>
      </w:r>
    </w:p>
  </w:endnote>
  <w:endnote w:type="continuationSeparator" w:id="0">
    <w:p w14:paraId="24A8AA08" w14:textId="77777777" w:rsidR="00474DC3" w:rsidRDefault="00474DC3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0573969"/>
      <w:docPartObj>
        <w:docPartGallery w:val="Page Numbers (Bottom of Page)"/>
        <w:docPartUnique/>
      </w:docPartObj>
    </w:sdtPr>
    <w:sdtEndPr/>
    <w:sdtContent>
      <w:p w14:paraId="5CE9E9C4" w14:textId="77777777" w:rsidR="00BD65B7" w:rsidRPr="00E87B39" w:rsidRDefault="00BD65B7" w:rsidP="00E87B39">
        <w:pPr>
          <w:pStyle w:val="Pta"/>
          <w:jc w:val="right"/>
        </w:pPr>
        <w:r w:rsidRPr="00E87B39">
          <w:rPr>
            <w:noProof/>
          </w:rPr>
          <mc:AlternateContent>
            <mc:Choice Requires="wps">
              <w:drawing>
                <wp:anchor distT="0" distB="0" distL="114300" distR="114300" simplePos="0" relativeHeight="251655168" behindDoc="0" locked="0" layoutInCell="1" allowOverlap="1" wp14:anchorId="3DAFF302" wp14:editId="220A5823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151130</wp:posOffset>
                  </wp:positionV>
                  <wp:extent cx="5762625" cy="9525"/>
                  <wp:effectExtent l="57150" t="38100" r="47625" b="85725"/>
                  <wp:wrapNone/>
                  <wp:docPr id="4" name="Rovná spojnica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762625" cy="9525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638634D0" id="Rovná spojnica 4" o:spid="_x0000_s1026" style="position:absolute;flip:y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" strokecolor="#f79646 [3209]" strokeweight="3pt">
                  <v:shadow on="t" color="black" opacity="22937f" origin=",.5" offset="0,.63889mm"/>
                </v:line>
              </w:pict>
            </mc:Fallback>
          </mc:AlternateContent>
        </w:r>
        <w:r w:rsidRPr="00E87B39">
          <w:t xml:space="preserve"> </w:t>
        </w:r>
      </w:p>
      <w:p w14:paraId="14B9E5D6" w14:textId="7BC01FD1" w:rsidR="00BD65B7" w:rsidRPr="00E87B39" w:rsidRDefault="00BD65B7" w:rsidP="00E87B39">
        <w:pPr>
          <w:tabs>
            <w:tab w:val="center" w:pos="4536"/>
            <w:tab w:val="right" w:pos="9072"/>
          </w:tabs>
          <w:jc w:val="right"/>
        </w:pPr>
        <w:r w:rsidRPr="00E87B39">
          <w:rPr>
            <w:noProof/>
          </w:rPr>
          <w:drawing>
            <wp:anchor distT="0" distB="0" distL="114300" distR="114300" simplePos="0" relativeHeight="251656192" behindDoc="1" locked="0" layoutInCell="1" allowOverlap="1" wp14:anchorId="01E40A57" wp14:editId="246D53FE">
              <wp:simplePos x="0" y="0"/>
              <wp:positionH relativeFrom="column">
                <wp:posOffset>71755</wp:posOffset>
              </wp:positionH>
              <wp:positionV relativeFrom="paragraph">
                <wp:posOffset>53340</wp:posOffset>
              </wp:positionV>
              <wp:extent cx="704850" cy="513080"/>
              <wp:effectExtent l="0" t="0" r="0" b="1270"/>
              <wp:wrapTight wrapText="bothSides">
                <wp:wrapPolygon edited="0">
                  <wp:start x="0" y="0"/>
                  <wp:lineTo x="0" y="20851"/>
                  <wp:lineTo x="21016" y="20851"/>
                  <wp:lineTo x="21016" y="0"/>
                  <wp:lineTo x="0" y="0"/>
                </wp:wrapPolygon>
              </wp:wrapTight>
              <wp:docPr id="1" name="Obrázo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513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E87B39">
          <w:t xml:space="preserve">Strana </w:t>
        </w:r>
        <w:sdt>
          <w:sdtPr>
            <w:id w:val="320479949"/>
            <w:docPartObj>
              <w:docPartGallery w:val="Page Numbers (Bottom of Page)"/>
              <w:docPartUnique/>
            </w:docPartObj>
          </w:sdtPr>
          <w:sdtEndPr/>
          <w:sdtContent>
            <w:r w:rsidRPr="00E87B39">
              <w:fldChar w:fldCharType="begin"/>
            </w:r>
            <w:r w:rsidRPr="00E87B39">
              <w:instrText>PAGE   \* MERGEFORMAT</w:instrText>
            </w:r>
            <w:r w:rsidRPr="00E87B39">
              <w:fldChar w:fldCharType="separate"/>
            </w:r>
            <w:r w:rsidR="00CC38FB">
              <w:rPr>
                <w:noProof/>
              </w:rPr>
              <w:t>6</w:t>
            </w:r>
            <w:r w:rsidRPr="00E87B39">
              <w:fldChar w:fldCharType="end"/>
            </w:r>
          </w:sdtContent>
        </w:sdt>
      </w:p>
      <w:p w14:paraId="3AB31038" w14:textId="77777777" w:rsidR="00BD65B7" w:rsidRPr="00E87B39" w:rsidRDefault="00474DC3" w:rsidP="00E87B39">
        <w:pPr>
          <w:tabs>
            <w:tab w:val="center" w:pos="4536"/>
            <w:tab w:val="right" w:pos="9072"/>
          </w:tabs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A59BED" w14:textId="77777777" w:rsidR="00474DC3" w:rsidRDefault="00474DC3" w:rsidP="00B948E0">
      <w:r>
        <w:separator/>
      </w:r>
    </w:p>
  </w:footnote>
  <w:footnote w:type="continuationSeparator" w:id="0">
    <w:p w14:paraId="51AC4F65" w14:textId="77777777" w:rsidR="00474DC3" w:rsidRDefault="00474DC3" w:rsidP="00B948E0">
      <w:r>
        <w:continuationSeparator/>
      </w:r>
    </w:p>
  </w:footnote>
  <w:footnote w:id="1">
    <w:p w14:paraId="14187CBA" w14:textId="77777777" w:rsidR="00280D2B" w:rsidRDefault="00280D2B" w:rsidP="00280D2B">
      <w:pPr>
        <w:pStyle w:val="Textpoznmkypodiarou"/>
        <w:spacing w:before="120"/>
      </w:pPr>
      <w:r w:rsidRPr="00E24728">
        <w:rPr>
          <w:rStyle w:val="Znakyprepoznmkupodiarou"/>
          <w:vertAlign w:val="superscript"/>
        </w:rPr>
        <w:footnoteRef/>
      </w:r>
      <w:r>
        <w:t xml:space="preserve"> napr. v rámci dedenia alebo pri zlúčení obchodných spoločností</w:t>
      </w:r>
    </w:p>
  </w:footnote>
  <w:footnote w:id="2">
    <w:p w14:paraId="0A75B89A" w14:textId="1B3B6F84" w:rsidR="00280D2B" w:rsidRDefault="00280D2B" w:rsidP="00280D2B">
      <w:pPr>
        <w:pStyle w:val="Textpoznmkypodiarou"/>
        <w:spacing w:before="120"/>
        <w:jc w:val="both"/>
      </w:pPr>
      <w:r w:rsidRPr="00E24728">
        <w:rPr>
          <w:rStyle w:val="Znakyprepoznmkupodiarou"/>
          <w:vertAlign w:val="superscript"/>
        </w:rPr>
        <w:footnoteRef/>
      </w:r>
      <w:r>
        <w:t xml:space="preserve"> správnym konaním je aj konanie o žiadosti a  konania o opravných prostriedkoch voči rozhodnutiu o žiadosti, hoci sú vedené podľa zákona o príspevku z EŠIF a nie podľa Správneho poriadku. Princíp jednotnosti správneho konania sa vzťahuje aj na takéto správne konania. K právoplatnosti rozhodnutia dochádza doručením rozhodnutia o odvolaní, uplynutím lehoty na</w:t>
      </w:r>
      <w:r w:rsidR="00BF44DB">
        <w:t xml:space="preserve"> podanie</w:t>
      </w:r>
      <w:r>
        <w:t xml:space="preserve"> odvolani</w:t>
      </w:r>
      <w:r w:rsidR="009A611B">
        <w:t>a</w:t>
      </w:r>
      <w:r>
        <w:t xml:space="preserve"> alebo vzdaním sa odvolania.</w:t>
      </w:r>
    </w:p>
  </w:footnote>
  <w:footnote w:id="3">
    <w:p w14:paraId="4A84288E" w14:textId="13D2D412" w:rsidR="00E24728" w:rsidRPr="00E24728" w:rsidRDefault="00E24728" w:rsidP="00E24728">
      <w:pPr>
        <w:jc w:val="both"/>
        <w:rPr>
          <w:sz w:val="16"/>
          <w:szCs w:val="16"/>
        </w:rPr>
      </w:pPr>
      <w:r w:rsidRPr="00CC38FB">
        <w:rPr>
          <w:rStyle w:val="Odkaznapoznmkupodiarou"/>
          <w:sz w:val="18"/>
          <w:szCs w:val="16"/>
        </w:rPr>
        <w:footnoteRef/>
      </w:r>
      <w:r w:rsidRPr="00CC38FB">
        <w:rPr>
          <w:sz w:val="18"/>
          <w:szCs w:val="16"/>
        </w:rPr>
        <w:t xml:space="preserve"> </w:t>
      </w:r>
      <w:r w:rsidRPr="00CC38FB">
        <w:rPr>
          <w:rFonts w:eastAsia="Segoe UI"/>
          <w:sz w:val="18"/>
          <w:szCs w:val="16"/>
          <w:lang w:bidi="en-US"/>
        </w:rPr>
        <w:t>Hlavička (t. j. označenie konajúceho orgánu) musí spĺňať tri základné podmienky: 1. musí byť zákonná (podľa zákona); 2. musí byť vo všeobecnosti zrozumiteľná; 3. musí byť zrozumiteľná niekomu, kto o zlúčení netuší vôbec nič, napríklad, ak sa rozhodnutie alebo iný úkon vykoná dávno potom, ako k zlúčeniu došlo.</w:t>
      </w:r>
      <w:r w:rsidRPr="00CC38FB">
        <w:rPr>
          <w:sz w:val="18"/>
          <w:szCs w:val="16"/>
        </w:rPr>
        <w:t xml:space="preserve"> </w:t>
      </w:r>
      <w:r w:rsidRPr="00CC38FB">
        <w:rPr>
          <w:rFonts w:eastAsia="Segoe UI"/>
          <w:sz w:val="18"/>
          <w:szCs w:val="16"/>
          <w:lang w:bidi="en-US"/>
        </w:rPr>
        <w:t>V závere je zoširoka rozvedené aj zlúčenie (čoho s čím) – kvôli podmienke č. 3. a dosiahnutia lepšej zrozumiteľnosti. Je kľúčové, aby hlavička vyjadrovala, o čo naozaj v konaní ide, čím je v tomto prípade dokončenie konaní podľa § 54 zákona (spojenie podmienok 1 a 2). Nehovorí sa vôbec o aktuálnom postavení po zlúčení, lebo to nie je dôležité pre toto konanie.</w:t>
      </w:r>
    </w:p>
  </w:footnote>
  <w:footnote w:id="4">
    <w:p w14:paraId="279489B5" w14:textId="0FD09F28" w:rsidR="00E24728" w:rsidRDefault="00E24728" w:rsidP="00E24728">
      <w:pPr>
        <w:pStyle w:val="Textpoznmkypodiarou"/>
      </w:pPr>
      <w:r w:rsidRPr="00CC38FB">
        <w:rPr>
          <w:rStyle w:val="Odkaznapoznmkupodiarou"/>
          <w:color w:val="FF0000"/>
          <w:sz w:val="22"/>
        </w:rPr>
        <w:t>*</w:t>
      </w:r>
      <w:r w:rsidRPr="00CC38FB">
        <w:rPr>
          <w:color w:val="FF0000"/>
          <w:szCs w:val="18"/>
        </w:rPr>
        <w:t xml:space="preserve"> </w:t>
      </w:r>
      <w:r>
        <w:rPr>
          <w:sz w:val="18"/>
          <w:szCs w:val="18"/>
        </w:rPr>
        <w:t>vyberie sa relevantná možnosť</w:t>
      </w:r>
    </w:p>
  </w:footnote>
  <w:footnote w:id="5">
    <w:p w14:paraId="2CA32984" w14:textId="77777777" w:rsidR="00E24728" w:rsidRDefault="00E24728" w:rsidP="00E24728">
      <w:pPr>
        <w:pStyle w:val="Textpoznmkypodiarou"/>
      </w:pPr>
      <w:r w:rsidRPr="00CC38FB">
        <w:rPr>
          <w:rStyle w:val="Odkaznapoznmkupodiarou"/>
          <w:color w:val="FF0000"/>
          <w:sz w:val="22"/>
        </w:rPr>
        <w:t>*</w:t>
      </w:r>
      <w:r w:rsidRPr="00E24728">
        <w:rPr>
          <w:sz w:val="18"/>
          <w:szCs w:val="18"/>
        </w:rPr>
        <w:t xml:space="preserve"> </w:t>
      </w:r>
      <w:r>
        <w:rPr>
          <w:sz w:val="18"/>
          <w:szCs w:val="18"/>
        </w:rPr>
        <w:t>vyberie sa relevantná možnosť</w:t>
      </w:r>
    </w:p>
  </w:footnote>
  <w:footnote w:id="6">
    <w:p w14:paraId="392680BD" w14:textId="2F244505" w:rsidR="006E710E" w:rsidRPr="00230080" w:rsidRDefault="006E710E" w:rsidP="006E710E">
      <w:pPr>
        <w:pStyle w:val="Textpoznmkypodiarou"/>
        <w:jc w:val="both"/>
      </w:pPr>
      <w:r w:rsidRPr="00CC38FB">
        <w:rPr>
          <w:rStyle w:val="Odkaznapoznmkupodiarou"/>
          <w:color w:val="FF0000"/>
        </w:rPr>
        <w:t>*</w:t>
      </w:r>
      <w:r w:rsidRPr="00CC38FB">
        <w:rPr>
          <w:color w:val="FF0000"/>
          <w:sz w:val="18"/>
          <w:szCs w:val="18"/>
        </w:rPr>
        <w:t xml:space="preserve"> </w:t>
      </w:r>
      <w:r w:rsidRPr="00230080">
        <w:rPr>
          <w:sz w:val="18"/>
          <w:szCs w:val="18"/>
        </w:rPr>
        <w:t>text „</w:t>
      </w:r>
      <w:r w:rsidRPr="00CC38FB">
        <w:rPr>
          <w:b/>
          <w:i/>
        </w:rPr>
        <w:t>v spojení s § 54 ods. 10 a 11</w:t>
      </w:r>
      <w:r w:rsidRPr="00230080">
        <w:rPr>
          <w:i/>
        </w:rPr>
        <w:t xml:space="preserve">“ </w:t>
      </w:r>
      <w:r w:rsidRPr="00230080">
        <w:t xml:space="preserve">- </w:t>
      </w:r>
      <w:r w:rsidRPr="00CC38FB">
        <w:rPr>
          <w:rFonts w:eastAsia="Segoe UI"/>
          <w:lang w:bidi="en-US"/>
        </w:rPr>
        <w:t>používa sa iba v prípade, ak daný úkon súvisí so zmluvou o poskytnutí NFP (vrátane návrhu zmluvy), zabezpečovacou zmluvou alebo iným právnym úkonom uvedeným v danom ustanovení, v opačnom prípade sa vymaže.</w:t>
      </w:r>
    </w:p>
  </w:footnote>
  <w:footnote w:id="7">
    <w:p w14:paraId="64E6787C" w14:textId="68826863" w:rsidR="006E710E" w:rsidRPr="00230080" w:rsidRDefault="006E710E" w:rsidP="006E710E">
      <w:pPr>
        <w:pStyle w:val="Textpoznmkypodiarou"/>
      </w:pPr>
      <w:r w:rsidRPr="00CC38FB">
        <w:rPr>
          <w:rStyle w:val="Odkaznapoznmkupodiarou"/>
          <w:color w:val="00B050"/>
          <w:sz w:val="28"/>
        </w:rPr>
        <w:t>*</w:t>
      </w:r>
      <w:r w:rsidRPr="00230080">
        <w:rPr>
          <w:sz w:val="18"/>
          <w:szCs w:val="18"/>
        </w:rPr>
        <w:t xml:space="preserve"> text „</w:t>
      </w:r>
      <w:r w:rsidRPr="00CC38FB">
        <w:rPr>
          <w:b/>
          <w:i/>
          <w:sz w:val="18"/>
          <w:szCs w:val="18"/>
        </w:rPr>
        <w:t>ods. 10 a 11</w:t>
      </w:r>
      <w:r w:rsidRPr="00230080">
        <w:rPr>
          <w:sz w:val="18"/>
          <w:szCs w:val="18"/>
        </w:rPr>
        <w:t>“ sa nahradí textom „</w:t>
      </w:r>
      <w:r w:rsidRPr="00CC38FB">
        <w:rPr>
          <w:rFonts w:eastAsia="Segoe UI"/>
          <w:b/>
          <w:i/>
          <w:lang w:bidi="en-US"/>
        </w:rPr>
        <w:t>ods. 8</w:t>
      </w:r>
      <w:r w:rsidRPr="00CC38FB">
        <w:rPr>
          <w:rFonts w:eastAsia="Segoe UI"/>
          <w:lang w:bidi="en-US"/>
        </w:rPr>
        <w:t>“ ak ide o rozhodnutie podľa § 16 ods. 2 zákona o príspevku z EŠIF, ak je to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A2ABE" w14:textId="77777777" w:rsidR="00BD65B7" w:rsidRDefault="00BD65B7" w:rsidP="00E87B39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B5D3A91" wp14:editId="329C9FEC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6"/>
                      </a:lnRef>
                      <a:fillRef idx="0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B99D497" id="Rovná spojnica 6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" strokecolor="#f79646 [3209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1944834786"/>
      <w:date w:fullDate="2020-01-27T00:00:00Z">
        <w:dateFormat w:val="dd.MM.yyyy"/>
        <w:lid w:val="sk-SK"/>
        <w:storeMappedDataAs w:val="dateTime"/>
        <w:calendar w:val="gregorian"/>
      </w:date>
    </w:sdtPr>
    <w:sdtEndPr/>
    <w:sdtContent>
      <w:p w14:paraId="6CF6AA84" w14:textId="739C3E70" w:rsidR="00BD65B7" w:rsidRPr="00627EA3" w:rsidRDefault="00A367CC" w:rsidP="00E87B39">
        <w:pPr>
          <w:pStyle w:val="Hlavika"/>
          <w:jc w:val="right"/>
        </w:pPr>
        <w:r>
          <w:rPr>
            <w:szCs w:val="20"/>
          </w:rPr>
          <w:t>27.01.2020</w:t>
        </w:r>
      </w:p>
    </w:sdtContent>
  </w:sdt>
  <w:p w14:paraId="4DF86E95" w14:textId="77777777" w:rsidR="00BD65B7" w:rsidRDefault="00BD65B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7379D"/>
    <w:multiLevelType w:val="hybridMultilevel"/>
    <w:tmpl w:val="DFC6615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ECD71A5"/>
    <w:multiLevelType w:val="hybridMultilevel"/>
    <w:tmpl w:val="335A911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63A563F"/>
    <w:multiLevelType w:val="hybridMultilevel"/>
    <w:tmpl w:val="0E7863B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F5215"/>
    <w:multiLevelType w:val="multilevel"/>
    <w:tmpl w:val="7F02FC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727C4"/>
    <w:multiLevelType w:val="multilevel"/>
    <w:tmpl w:val="7690E8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E318F"/>
    <w:multiLevelType w:val="multilevel"/>
    <w:tmpl w:val="0E7E39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03134"/>
    <w:multiLevelType w:val="multilevel"/>
    <w:tmpl w:val="860A9D40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2160" w:hanging="360"/>
      </w:pPr>
    </w:lvl>
    <w:lvl w:ilvl="2">
      <w:start w:val="1"/>
      <w:numFmt w:val="decimal"/>
      <w:lvlText w:val="%3)"/>
      <w:lvlJc w:val="left"/>
      <w:pPr>
        <w:ind w:left="3420" w:hanging="72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CE63A4A"/>
    <w:multiLevelType w:val="multilevel"/>
    <w:tmpl w:val="E5745564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2160" w:hanging="360"/>
      </w:pPr>
    </w:lvl>
    <w:lvl w:ilvl="2">
      <w:start w:val="1"/>
      <w:numFmt w:val="lowerRoman"/>
      <w:lvlText w:val="(%3)"/>
      <w:lvlJc w:val="left"/>
      <w:pPr>
        <w:ind w:left="3420" w:hanging="72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7F1E9E"/>
    <w:multiLevelType w:val="hybridMultilevel"/>
    <w:tmpl w:val="7EF633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C526CE"/>
    <w:multiLevelType w:val="hybridMultilevel"/>
    <w:tmpl w:val="CB6EC41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DD004C"/>
    <w:multiLevelType w:val="hybridMultilevel"/>
    <w:tmpl w:val="2390AA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CDDC30C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A63CD"/>
    <w:multiLevelType w:val="multilevel"/>
    <w:tmpl w:val="65468560"/>
    <w:lvl w:ilvl="0">
      <w:start w:val="1"/>
      <w:numFmt w:val="lowerRoman"/>
      <w:lvlText w:val="%1."/>
      <w:lvlJc w:val="righ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decimal"/>
      <w:lvlText w:val="%3)"/>
      <w:lvlJc w:val="lef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348C22FB"/>
    <w:multiLevelType w:val="hybridMultilevel"/>
    <w:tmpl w:val="6DBA163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F7A52"/>
    <w:multiLevelType w:val="hybridMultilevel"/>
    <w:tmpl w:val="CD5830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AD5D3A"/>
    <w:multiLevelType w:val="multilevel"/>
    <w:tmpl w:val="A0CC4F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921C63"/>
    <w:multiLevelType w:val="multilevel"/>
    <w:tmpl w:val="770206B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C4223F"/>
    <w:multiLevelType w:val="hybridMultilevel"/>
    <w:tmpl w:val="683673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1807C6"/>
    <w:multiLevelType w:val="multilevel"/>
    <w:tmpl w:val="E660761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315EE4"/>
    <w:multiLevelType w:val="hybridMultilevel"/>
    <w:tmpl w:val="2698E7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9455B2"/>
    <w:multiLevelType w:val="multilevel"/>
    <w:tmpl w:val="B8FAF056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2160" w:hanging="360"/>
      </w:pPr>
    </w:lvl>
    <w:lvl w:ilvl="2">
      <w:start w:val="1"/>
      <w:numFmt w:val="lowerRoman"/>
      <w:lvlText w:val="(%3)"/>
      <w:lvlJc w:val="left"/>
      <w:pPr>
        <w:ind w:left="3420" w:hanging="72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E9A3407"/>
    <w:multiLevelType w:val="hybridMultilevel"/>
    <w:tmpl w:val="390A7D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A326A4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DE67EE6"/>
    <w:multiLevelType w:val="hybridMultilevel"/>
    <w:tmpl w:val="1C7E8D4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3306B69"/>
    <w:multiLevelType w:val="hybridMultilevel"/>
    <w:tmpl w:val="F61C4074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6244232"/>
    <w:multiLevelType w:val="hybridMultilevel"/>
    <w:tmpl w:val="683673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711461"/>
    <w:multiLevelType w:val="hybridMultilevel"/>
    <w:tmpl w:val="683673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D123F"/>
    <w:multiLevelType w:val="hybridMultilevel"/>
    <w:tmpl w:val="425A03E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FF7A6B"/>
    <w:multiLevelType w:val="multilevel"/>
    <w:tmpl w:val="44FE28E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2160" w:hanging="360"/>
      </w:pPr>
    </w:lvl>
    <w:lvl w:ilvl="2">
      <w:start w:val="1"/>
      <w:numFmt w:val="decimal"/>
      <w:lvlText w:val="%3)"/>
      <w:lvlJc w:val="left"/>
      <w:pPr>
        <w:ind w:left="3420" w:hanging="72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2"/>
  </w:num>
  <w:num w:numId="3">
    <w:abstractNumId w:val="12"/>
  </w:num>
  <w:num w:numId="4">
    <w:abstractNumId w:val="17"/>
  </w:num>
  <w:num w:numId="5">
    <w:abstractNumId w:val="3"/>
  </w:num>
  <w:num w:numId="6">
    <w:abstractNumId w:val="7"/>
  </w:num>
  <w:num w:numId="7">
    <w:abstractNumId w:val="11"/>
  </w:num>
  <w:num w:numId="8">
    <w:abstractNumId w:val="4"/>
  </w:num>
  <w:num w:numId="9">
    <w:abstractNumId w:val="5"/>
  </w:num>
  <w:num w:numId="10">
    <w:abstractNumId w:val="14"/>
  </w:num>
  <w:num w:numId="11">
    <w:abstractNumId w:val="10"/>
  </w:num>
  <w:num w:numId="12">
    <w:abstractNumId w:val="24"/>
  </w:num>
  <w:num w:numId="13">
    <w:abstractNumId w:val="25"/>
  </w:num>
  <w:num w:numId="14">
    <w:abstractNumId w:val="16"/>
  </w:num>
  <w:num w:numId="15">
    <w:abstractNumId w:val="9"/>
  </w:num>
  <w:num w:numId="16">
    <w:abstractNumId w:val="19"/>
  </w:num>
  <w:num w:numId="17">
    <w:abstractNumId w:val="27"/>
  </w:num>
  <w:num w:numId="18">
    <w:abstractNumId w:val="6"/>
  </w:num>
  <w:num w:numId="19">
    <w:abstractNumId w:val="23"/>
  </w:num>
  <w:num w:numId="20">
    <w:abstractNumId w:val="21"/>
  </w:num>
  <w:num w:numId="21">
    <w:abstractNumId w:val="1"/>
  </w:num>
  <w:num w:numId="22">
    <w:abstractNumId w:val="20"/>
  </w:num>
  <w:num w:numId="23">
    <w:abstractNumId w:val="26"/>
  </w:num>
  <w:num w:numId="24">
    <w:abstractNumId w:val="13"/>
  </w:num>
  <w:num w:numId="25">
    <w:abstractNumId w:val="8"/>
  </w:num>
  <w:num w:numId="26">
    <w:abstractNumId w:val="22"/>
  </w:num>
  <w:num w:numId="27">
    <w:abstractNumId w:val="15"/>
  </w:num>
  <w:num w:numId="28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20C4"/>
    <w:rsid w:val="000069D7"/>
    <w:rsid w:val="00024215"/>
    <w:rsid w:val="00035F55"/>
    <w:rsid w:val="000362BA"/>
    <w:rsid w:val="0003757B"/>
    <w:rsid w:val="000417B5"/>
    <w:rsid w:val="00041BE8"/>
    <w:rsid w:val="000440BA"/>
    <w:rsid w:val="00044491"/>
    <w:rsid w:val="000505C4"/>
    <w:rsid w:val="00050728"/>
    <w:rsid w:val="000637AE"/>
    <w:rsid w:val="00066955"/>
    <w:rsid w:val="00067C16"/>
    <w:rsid w:val="00067E28"/>
    <w:rsid w:val="00071088"/>
    <w:rsid w:val="00075CC5"/>
    <w:rsid w:val="00077310"/>
    <w:rsid w:val="000810F8"/>
    <w:rsid w:val="0008362E"/>
    <w:rsid w:val="00083924"/>
    <w:rsid w:val="00091259"/>
    <w:rsid w:val="00092065"/>
    <w:rsid w:val="000B4621"/>
    <w:rsid w:val="000B6678"/>
    <w:rsid w:val="000B79E1"/>
    <w:rsid w:val="000C3E87"/>
    <w:rsid w:val="000C4E06"/>
    <w:rsid w:val="000C722C"/>
    <w:rsid w:val="000D232B"/>
    <w:rsid w:val="000D298C"/>
    <w:rsid w:val="000D42BA"/>
    <w:rsid w:val="000D55FF"/>
    <w:rsid w:val="000D6B86"/>
    <w:rsid w:val="000E0FD5"/>
    <w:rsid w:val="000E2AA4"/>
    <w:rsid w:val="000F37A6"/>
    <w:rsid w:val="000F3900"/>
    <w:rsid w:val="00100AFE"/>
    <w:rsid w:val="001014AE"/>
    <w:rsid w:val="0010268D"/>
    <w:rsid w:val="00103B26"/>
    <w:rsid w:val="00106956"/>
    <w:rsid w:val="001109DA"/>
    <w:rsid w:val="0011576A"/>
    <w:rsid w:val="00116F61"/>
    <w:rsid w:val="00121513"/>
    <w:rsid w:val="00121F59"/>
    <w:rsid w:val="0012210D"/>
    <w:rsid w:val="00122D6F"/>
    <w:rsid w:val="00123E86"/>
    <w:rsid w:val="00125671"/>
    <w:rsid w:val="00133056"/>
    <w:rsid w:val="00135B46"/>
    <w:rsid w:val="001429E7"/>
    <w:rsid w:val="00142A86"/>
    <w:rsid w:val="0014641E"/>
    <w:rsid w:val="00146721"/>
    <w:rsid w:val="00146E8B"/>
    <w:rsid w:val="001471DB"/>
    <w:rsid w:val="0015233E"/>
    <w:rsid w:val="001542EF"/>
    <w:rsid w:val="00157477"/>
    <w:rsid w:val="001651C6"/>
    <w:rsid w:val="0016695B"/>
    <w:rsid w:val="00166989"/>
    <w:rsid w:val="00167A39"/>
    <w:rsid w:val="00167B98"/>
    <w:rsid w:val="00173917"/>
    <w:rsid w:val="00176128"/>
    <w:rsid w:val="0017695A"/>
    <w:rsid w:val="001873B5"/>
    <w:rsid w:val="0018749F"/>
    <w:rsid w:val="001877C4"/>
    <w:rsid w:val="00190651"/>
    <w:rsid w:val="00191573"/>
    <w:rsid w:val="001A0237"/>
    <w:rsid w:val="001A0E61"/>
    <w:rsid w:val="001A1CB2"/>
    <w:rsid w:val="001A690D"/>
    <w:rsid w:val="001B12DC"/>
    <w:rsid w:val="001B27DA"/>
    <w:rsid w:val="001B2ADD"/>
    <w:rsid w:val="001B47D0"/>
    <w:rsid w:val="001B4F9C"/>
    <w:rsid w:val="001B6E9F"/>
    <w:rsid w:val="001C513F"/>
    <w:rsid w:val="001C7D97"/>
    <w:rsid w:val="001D3888"/>
    <w:rsid w:val="001D4AFA"/>
    <w:rsid w:val="001D4B25"/>
    <w:rsid w:val="001D66E3"/>
    <w:rsid w:val="001E6228"/>
    <w:rsid w:val="001F0193"/>
    <w:rsid w:val="001F20CC"/>
    <w:rsid w:val="001F2F0C"/>
    <w:rsid w:val="001F3C37"/>
    <w:rsid w:val="0020102A"/>
    <w:rsid w:val="0020440B"/>
    <w:rsid w:val="002131E8"/>
    <w:rsid w:val="00216B1A"/>
    <w:rsid w:val="0022292E"/>
    <w:rsid w:val="002259C4"/>
    <w:rsid w:val="00225A05"/>
    <w:rsid w:val="00227443"/>
    <w:rsid w:val="00227775"/>
    <w:rsid w:val="00230080"/>
    <w:rsid w:val="00237204"/>
    <w:rsid w:val="00243C1C"/>
    <w:rsid w:val="002449BE"/>
    <w:rsid w:val="00246970"/>
    <w:rsid w:val="00252AC1"/>
    <w:rsid w:val="00256687"/>
    <w:rsid w:val="002630BD"/>
    <w:rsid w:val="00273A71"/>
    <w:rsid w:val="00274479"/>
    <w:rsid w:val="00280182"/>
    <w:rsid w:val="00280D2B"/>
    <w:rsid w:val="00285B8F"/>
    <w:rsid w:val="002866AB"/>
    <w:rsid w:val="00290915"/>
    <w:rsid w:val="00292243"/>
    <w:rsid w:val="00293AA5"/>
    <w:rsid w:val="00296796"/>
    <w:rsid w:val="002A19DC"/>
    <w:rsid w:val="002A1E17"/>
    <w:rsid w:val="002A4726"/>
    <w:rsid w:val="002B27DD"/>
    <w:rsid w:val="002B5FA4"/>
    <w:rsid w:val="002B7880"/>
    <w:rsid w:val="002C096A"/>
    <w:rsid w:val="002C1094"/>
    <w:rsid w:val="002C2A47"/>
    <w:rsid w:val="002C406B"/>
    <w:rsid w:val="002C45CB"/>
    <w:rsid w:val="002D103D"/>
    <w:rsid w:val="002D1D62"/>
    <w:rsid w:val="002D2A83"/>
    <w:rsid w:val="002D65BD"/>
    <w:rsid w:val="002D6ED2"/>
    <w:rsid w:val="002D74A6"/>
    <w:rsid w:val="002E3819"/>
    <w:rsid w:val="002E3913"/>
    <w:rsid w:val="002E421D"/>
    <w:rsid w:val="002E6087"/>
    <w:rsid w:val="002E611C"/>
    <w:rsid w:val="002E7F32"/>
    <w:rsid w:val="002E7F66"/>
    <w:rsid w:val="002F3B7D"/>
    <w:rsid w:val="0030206C"/>
    <w:rsid w:val="00302376"/>
    <w:rsid w:val="00304A4F"/>
    <w:rsid w:val="00312A4C"/>
    <w:rsid w:val="00313B23"/>
    <w:rsid w:val="00315391"/>
    <w:rsid w:val="00315501"/>
    <w:rsid w:val="00325A38"/>
    <w:rsid w:val="003261B6"/>
    <w:rsid w:val="00331157"/>
    <w:rsid w:val="003362EA"/>
    <w:rsid w:val="0034008F"/>
    <w:rsid w:val="003411AC"/>
    <w:rsid w:val="003437EB"/>
    <w:rsid w:val="00354C90"/>
    <w:rsid w:val="003551FF"/>
    <w:rsid w:val="0035797F"/>
    <w:rsid w:val="00360695"/>
    <w:rsid w:val="00360C1F"/>
    <w:rsid w:val="00365262"/>
    <w:rsid w:val="00366198"/>
    <w:rsid w:val="003664D6"/>
    <w:rsid w:val="00367DEB"/>
    <w:rsid w:val="00372E79"/>
    <w:rsid w:val="003733F4"/>
    <w:rsid w:val="003739C6"/>
    <w:rsid w:val="00382C16"/>
    <w:rsid w:val="00384719"/>
    <w:rsid w:val="00386CBA"/>
    <w:rsid w:val="00393784"/>
    <w:rsid w:val="003941B3"/>
    <w:rsid w:val="003A421A"/>
    <w:rsid w:val="003A456A"/>
    <w:rsid w:val="003A52FC"/>
    <w:rsid w:val="003A5FE4"/>
    <w:rsid w:val="003A67E1"/>
    <w:rsid w:val="003A7581"/>
    <w:rsid w:val="003B0DFE"/>
    <w:rsid w:val="003B2F8A"/>
    <w:rsid w:val="003B4719"/>
    <w:rsid w:val="003B6293"/>
    <w:rsid w:val="003C0C48"/>
    <w:rsid w:val="003C1913"/>
    <w:rsid w:val="003C2544"/>
    <w:rsid w:val="003C29AF"/>
    <w:rsid w:val="003C2FE3"/>
    <w:rsid w:val="003D0150"/>
    <w:rsid w:val="003D4FA5"/>
    <w:rsid w:val="003D568C"/>
    <w:rsid w:val="003E1D17"/>
    <w:rsid w:val="003E2D61"/>
    <w:rsid w:val="003E5844"/>
    <w:rsid w:val="003E6584"/>
    <w:rsid w:val="003F2957"/>
    <w:rsid w:val="003F452E"/>
    <w:rsid w:val="003F6228"/>
    <w:rsid w:val="003F733A"/>
    <w:rsid w:val="00401849"/>
    <w:rsid w:val="00401FD6"/>
    <w:rsid w:val="004053DD"/>
    <w:rsid w:val="004102E7"/>
    <w:rsid w:val="00416E2D"/>
    <w:rsid w:val="0041749D"/>
    <w:rsid w:val="00417B04"/>
    <w:rsid w:val="00417E69"/>
    <w:rsid w:val="00427918"/>
    <w:rsid w:val="00427F84"/>
    <w:rsid w:val="00432AF0"/>
    <w:rsid w:val="00432DF1"/>
    <w:rsid w:val="00434AA1"/>
    <w:rsid w:val="0043576D"/>
    <w:rsid w:val="00442D4B"/>
    <w:rsid w:val="0044305D"/>
    <w:rsid w:val="004445A9"/>
    <w:rsid w:val="00450E3A"/>
    <w:rsid w:val="0045159A"/>
    <w:rsid w:val="00460762"/>
    <w:rsid w:val="00460A1D"/>
    <w:rsid w:val="00460AE2"/>
    <w:rsid w:val="00460F75"/>
    <w:rsid w:val="00474C21"/>
    <w:rsid w:val="00474DC3"/>
    <w:rsid w:val="004752BE"/>
    <w:rsid w:val="00476021"/>
    <w:rsid w:val="004768A4"/>
    <w:rsid w:val="00477B8E"/>
    <w:rsid w:val="004861ED"/>
    <w:rsid w:val="00490AF9"/>
    <w:rsid w:val="00491DC4"/>
    <w:rsid w:val="00492026"/>
    <w:rsid w:val="00493812"/>
    <w:rsid w:val="00493F0A"/>
    <w:rsid w:val="004942D2"/>
    <w:rsid w:val="0049473E"/>
    <w:rsid w:val="0049692F"/>
    <w:rsid w:val="00496B2D"/>
    <w:rsid w:val="00497945"/>
    <w:rsid w:val="004A0829"/>
    <w:rsid w:val="004B14F4"/>
    <w:rsid w:val="004B3500"/>
    <w:rsid w:val="004B4782"/>
    <w:rsid w:val="004B7185"/>
    <w:rsid w:val="004C1071"/>
    <w:rsid w:val="004C76BD"/>
    <w:rsid w:val="004D1C74"/>
    <w:rsid w:val="004D3857"/>
    <w:rsid w:val="004D580C"/>
    <w:rsid w:val="004D6B0B"/>
    <w:rsid w:val="004E02D7"/>
    <w:rsid w:val="004E06B1"/>
    <w:rsid w:val="004E2120"/>
    <w:rsid w:val="004E3ABD"/>
    <w:rsid w:val="004E47D7"/>
    <w:rsid w:val="004E51D7"/>
    <w:rsid w:val="004E5A12"/>
    <w:rsid w:val="004E63EC"/>
    <w:rsid w:val="004F3A32"/>
    <w:rsid w:val="004F7FDF"/>
    <w:rsid w:val="00500DBE"/>
    <w:rsid w:val="005037B0"/>
    <w:rsid w:val="0050381B"/>
    <w:rsid w:val="00506FA9"/>
    <w:rsid w:val="005122F6"/>
    <w:rsid w:val="00514914"/>
    <w:rsid w:val="0052338F"/>
    <w:rsid w:val="005237BA"/>
    <w:rsid w:val="00525039"/>
    <w:rsid w:val="005257B4"/>
    <w:rsid w:val="00531295"/>
    <w:rsid w:val="005318DC"/>
    <w:rsid w:val="00532DF7"/>
    <w:rsid w:val="00541FF5"/>
    <w:rsid w:val="005426E0"/>
    <w:rsid w:val="005468BC"/>
    <w:rsid w:val="00554E89"/>
    <w:rsid w:val="005556C3"/>
    <w:rsid w:val="005639B4"/>
    <w:rsid w:val="005701C7"/>
    <w:rsid w:val="00570762"/>
    <w:rsid w:val="005730AB"/>
    <w:rsid w:val="00573F98"/>
    <w:rsid w:val="00575652"/>
    <w:rsid w:val="00576C6F"/>
    <w:rsid w:val="005800C7"/>
    <w:rsid w:val="00580A58"/>
    <w:rsid w:val="00581FDB"/>
    <w:rsid w:val="00586311"/>
    <w:rsid w:val="00586FDB"/>
    <w:rsid w:val="005874AC"/>
    <w:rsid w:val="00590B84"/>
    <w:rsid w:val="00591B81"/>
    <w:rsid w:val="005935A0"/>
    <w:rsid w:val="00595EF2"/>
    <w:rsid w:val="00596476"/>
    <w:rsid w:val="005A3A63"/>
    <w:rsid w:val="005A5C22"/>
    <w:rsid w:val="005A5CDF"/>
    <w:rsid w:val="005B04B2"/>
    <w:rsid w:val="005B1586"/>
    <w:rsid w:val="005B2A1A"/>
    <w:rsid w:val="005B3B16"/>
    <w:rsid w:val="005B49EF"/>
    <w:rsid w:val="005B5052"/>
    <w:rsid w:val="005C0BF7"/>
    <w:rsid w:val="005C2C75"/>
    <w:rsid w:val="005C35FF"/>
    <w:rsid w:val="005C3A1C"/>
    <w:rsid w:val="005C49F6"/>
    <w:rsid w:val="005C5900"/>
    <w:rsid w:val="005D3B95"/>
    <w:rsid w:val="005D599B"/>
    <w:rsid w:val="005D59AE"/>
    <w:rsid w:val="005E0AC0"/>
    <w:rsid w:val="005F2BCE"/>
    <w:rsid w:val="005F5B71"/>
    <w:rsid w:val="006012EE"/>
    <w:rsid w:val="0060208E"/>
    <w:rsid w:val="00602CC4"/>
    <w:rsid w:val="00604774"/>
    <w:rsid w:val="006058E6"/>
    <w:rsid w:val="00610D56"/>
    <w:rsid w:val="006133F3"/>
    <w:rsid w:val="006164E9"/>
    <w:rsid w:val="00622D7A"/>
    <w:rsid w:val="00623659"/>
    <w:rsid w:val="00626FE3"/>
    <w:rsid w:val="00627723"/>
    <w:rsid w:val="00630349"/>
    <w:rsid w:val="00631272"/>
    <w:rsid w:val="006317BB"/>
    <w:rsid w:val="00631A2E"/>
    <w:rsid w:val="00636139"/>
    <w:rsid w:val="00636594"/>
    <w:rsid w:val="00636DE6"/>
    <w:rsid w:val="00637350"/>
    <w:rsid w:val="00646617"/>
    <w:rsid w:val="006479DF"/>
    <w:rsid w:val="0065112A"/>
    <w:rsid w:val="00656F29"/>
    <w:rsid w:val="00660DCB"/>
    <w:rsid w:val="0066267C"/>
    <w:rsid w:val="00662FBE"/>
    <w:rsid w:val="0067014F"/>
    <w:rsid w:val="006719A0"/>
    <w:rsid w:val="006759FE"/>
    <w:rsid w:val="00680213"/>
    <w:rsid w:val="006828C4"/>
    <w:rsid w:val="00684A4B"/>
    <w:rsid w:val="00685964"/>
    <w:rsid w:val="00687102"/>
    <w:rsid w:val="00691509"/>
    <w:rsid w:val="00693341"/>
    <w:rsid w:val="006938FF"/>
    <w:rsid w:val="006A5157"/>
    <w:rsid w:val="006A5A94"/>
    <w:rsid w:val="006A70F5"/>
    <w:rsid w:val="006A7DF2"/>
    <w:rsid w:val="006B00F4"/>
    <w:rsid w:val="006B103C"/>
    <w:rsid w:val="006B2B8D"/>
    <w:rsid w:val="006B3ACE"/>
    <w:rsid w:val="006C6A25"/>
    <w:rsid w:val="006D082A"/>
    <w:rsid w:val="006D121A"/>
    <w:rsid w:val="006D399A"/>
    <w:rsid w:val="006D3B82"/>
    <w:rsid w:val="006E06DB"/>
    <w:rsid w:val="006E4110"/>
    <w:rsid w:val="006E710E"/>
    <w:rsid w:val="006F15B4"/>
    <w:rsid w:val="006F34E6"/>
    <w:rsid w:val="006F4353"/>
    <w:rsid w:val="00700153"/>
    <w:rsid w:val="007016EF"/>
    <w:rsid w:val="007025E9"/>
    <w:rsid w:val="00710350"/>
    <w:rsid w:val="007133C8"/>
    <w:rsid w:val="00713A57"/>
    <w:rsid w:val="007149BA"/>
    <w:rsid w:val="00714D3B"/>
    <w:rsid w:val="00716EAB"/>
    <w:rsid w:val="007212CB"/>
    <w:rsid w:val="0072540C"/>
    <w:rsid w:val="007277D1"/>
    <w:rsid w:val="0073197D"/>
    <w:rsid w:val="0073315E"/>
    <w:rsid w:val="007343B6"/>
    <w:rsid w:val="007366EE"/>
    <w:rsid w:val="00740F66"/>
    <w:rsid w:val="00741DC2"/>
    <w:rsid w:val="00743CDE"/>
    <w:rsid w:val="00745FC7"/>
    <w:rsid w:val="00750DD4"/>
    <w:rsid w:val="00751EC9"/>
    <w:rsid w:val="00756B99"/>
    <w:rsid w:val="00762197"/>
    <w:rsid w:val="0076414C"/>
    <w:rsid w:val="00764230"/>
    <w:rsid w:val="00765555"/>
    <w:rsid w:val="007657F6"/>
    <w:rsid w:val="0076659B"/>
    <w:rsid w:val="00766F08"/>
    <w:rsid w:val="00770BB0"/>
    <w:rsid w:val="0077172E"/>
    <w:rsid w:val="00771CC6"/>
    <w:rsid w:val="00773D4C"/>
    <w:rsid w:val="00780A2F"/>
    <w:rsid w:val="00782970"/>
    <w:rsid w:val="00784EF7"/>
    <w:rsid w:val="007869C1"/>
    <w:rsid w:val="00793259"/>
    <w:rsid w:val="00793318"/>
    <w:rsid w:val="007A0A10"/>
    <w:rsid w:val="007A5B1A"/>
    <w:rsid w:val="007A60EF"/>
    <w:rsid w:val="007B0A00"/>
    <w:rsid w:val="007B10EA"/>
    <w:rsid w:val="007B1581"/>
    <w:rsid w:val="007B375D"/>
    <w:rsid w:val="007B7415"/>
    <w:rsid w:val="007C4D25"/>
    <w:rsid w:val="007C55B7"/>
    <w:rsid w:val="007D1C76"/>
    <w:rsid w:val="007D3839"/>
    <w:rsid w:val="007D3EF9"/>
    <w:rsid w:val="007D51B5"/>
    <w:rsid w:val="007D5F89"/>
    <w:rsid w:val="007D6771"/>
    <w:rsid w:val="007E5277"/>
    <w:rsid w:val="007E6856"/>
    <w:rsid w:val="007F0D9A"/>
    <w:rsid w:val="007F6C03"/>
    <w:rsid w:val="00801225"/>
    <w:rsid w:val="00806025"/>
    <w:rsid w:val="0081102C"/>
    <w:rsid w:val="0081420E"/>
    <w:rsid w:val="008151F9"/>
    <w:rsid w:val="008169E2"/>
    <w:rsid w:val="00817B3A"/>
    <w:rsid w:val="00823A5E"/>
    <w:rsid w:val="00833AEE"/>
    <w:rsid w:val="00835FEE"/>
    <w:rsid w:val="00845CF6"/>
    <w:rsid w:val="008463DD"/>
    <w:rsid w:val="00846AD0"/>
    <w:rsid w:val="00846C7E"/>
    <w:rsid w:val="0084743A"/>
    <w:rsid w:val="00850467"/>
    <w:rsid w:val="00855325"/>
    <w:rsid w:val="00856BBE"/>
    <w:rsid w:val="00862F49"/>
    <w:rsid w:val="00866437"/>
    <w:rsid w:val="00872A39"/>
    <w:rsid w:val="00872EE1"/>
    <w:rsid w:val="00873A5C"/>
    <w:rsid w:val="008741B5"/>
    <w:rsid w:val="008743E6"/>
    <w:rsid w:val="0087615B"/>
    <w:rsid w:val="00880080"/>
    <w:rsid w:val="008806AC"/>
    <w:rsid w:val="008809BE"/>
    <w:rsid w:val="008831D7"/>
    <w:rsid w:val="00885462"/>
    <w:rsid w:val="00886F92"/>
    <w:rsid w:val="00890C01"/>
    <w:rsid w:val="00892B4E"/>
    <w:rsid w:val="008942C4"/>
    <w:rsid w:val="0089568E"/>
    <w:rsid w:val="008A2DF6"/>
    <w:rsid w:val="008B2FFB"/>
    <w:rsid w:val="008B31FF"/>
    <w:rsid w:val="008C271F"/>
    <w:rsid w:val="008C404B"/>
    <w:rsid w:val="008D0F9C"/>
    <w:rsid w:val="008D1619"/>
    <w:rsid w:val="008D60B5"/>
    <w:rsid w:val="008E3D98"/>
    <w:rsid w:val="008F16B9"/>
    <w:rsid w:val="008F2627"/>
    <w:rsid w:val="008F75AF"/>
    <w:rsid w:val="0090110D"/>
    <w:rsid w:val="00901CC5"/>
    <w:rsid w:val="00905074"/>
    <w:rsid w:val="00905135"/>
    <w:rsid w:val="009113F1"/>
    <w:rsid w:val="00911D80"/>
    <w:rsid w:val="00922A7F"/>
    <w:rsid w:val="00924935"/>
    <w:rsid w:val="00926284"/>
    <w:rsid w:val="00930AD8"/>
    <w:rsid w:val="00931149"/>
    <w:rsid w:val="00931AF2"/>
    <w:rsid w:val="00937794"/>
    <w:rsid w:val="00942092"/>
    <w:rsid w:val="00942655"/>
    <w:rsid w:val="00942EFD"/>
    <w:rsid w:val="00944668"/>
    <w:rsid w:val="00945F43"/>
    <w:rsid w:val="00951A82"/>
    <w:rsid w:val="009621A1"/>
    <w:rsid w:val="00962621"/>
    <w:rsid w:val="00965239"/>
    <w:rsid w:val="00977CF6"/>
    <w:rsid w:val="00980688"/>
    <w:rsid w:val="009836CF"/>
    <w:rsid w:val="009860A1"/>
    <w:rsid w:val="00986119"/>
    <w:rsid w:val="0099136C"/>
    <w:rsid w:val="009930B9"/>
    <w:rsid w:val="0099324D"/>
    <w:rsid w:val="009932A7"/>
    <w:rsid w:val="009934B3"/>
    <w:rsid w:val="00995F15"/>
    <w:rsid w:val="00996AD1"/>
    <w:rsid w:val="009A13E9"/>
    <w:rsid w:val="009A611B"/>
    <w:rsid w:val="009B2959"/>
    <w:rsid w:val="009B421D"/>
    <w:rsid w:val="009B4CD8"/>
    <w:rsid w:val="009B53BE"/>
    <w:rsid w:val="009B73E9"/>
    <w:rsid w:val="009B75C4"/>
    <w:rsid w:val="009C0F64"/>
    <w:rsid w:val="009C4EF4"/>
    <w:rsid w:val="009D1159"/>
    <w:rsid w:val="009D141E"/>
    <w:rsid w:val="009E3B56"/>
    <w:rsid w:val="009E3D23"/>
    <w:rsid w:val="009E5242"/>
    <w:rsid w:val="009E6DA3"/>
    <w:rsid w:val="009F10DB"/>
    <w:rsid w:val="009F294D"/>
    <w:rsid w:val="009F5733"/>
    <w:rsid w:val="009F5F9E"/>
    <w:rsid w:val="00A054E8"/>
    <w:rsid w:val="00A10AE6"/>
    <w:rsid w:val="00A137D6"/>
    <w:rsid w:val="00A144AE"/>
    <w:rsid w:val="00A14A90"/>
    <w:rsid w:val="00A17580"/>
    <w:rsid w:val="00A2264F"/>
    <w:rsid w:val="00A2731E"/>
    <w:rsid w:val="00A30858"/>
    <w:rsid w:val="00A31FBC"/>
    <w:rsid w:val="00A336B4"/>
    <w:rsid w:val="00A3593E"/>
    <w:rsid w:val="00A367CC"/>
    <w:rsid w:val="00A3720E"/>
    <w:rsid w:val="00A4562F"/>
    <w:rsid w:val="00A50029"/>
    <w:rsid w:val="00A50511"/>
    <w:rsid w:val="00A5165F"/>
    <w:rsid w:val="00A57558"/>
    <w:rsid w:val="00A637A3"/>
    <w:rsid w:val="00A66561"/>
    <w:rsid w:val="00A70E26"/>
    <w:rsid w:val="00A75204"/>
    <w:rsid w:val="00A76F4B"/>
    <w:rsid w:val="00A80EB0"/>
    <w:rsid w:val="00A845D0"/>
    <w:rsid w:val="00A9025E"/>
    <w:rsid w:val="00A924E8"/>
    <w:rsid w:val="00A9254C"/>
    <w:rsid w:val="00A97071"/>
    <w:rsid w:val="00AA2219"/>
    <w:rsid w:val="00AA2E9B"/>
    <w:rsid w:val="00AA76CD"/>
    <w:rsid w:val="00AB247A"/>
    <w:rsid w:val="00AB393F"/>
    <w:rsid w:val="00AB755C"/>
    <w:rsid w:val="00AC26E2"/>
    <w:rsid w:val="00AC339F"/>
    <w:rsid w:val="00AC381D"/>
    <w:rsid w:val="00AD0844"/>
    <w:rsid w:val="00AD0A95"/>
    <w:rsid w:val="00AD1E79"/>
    <w:rsid w:val="00AE03BD"/>
    <w:rsid w:val="00AE13E6"/>
    <w:rsid w:val="00AE20F5"/>
    <w:rsid w:val="00AE51D1"/>
    <w:rsid w:val="00AF4A59"/>
    <w:rsid w:val="00AF7B96"/>
    <w:rsid w:val="00B02AC9"/>
    <w:rsid w:val="00B06C00"/>
    <w:rsid w:val="00B100D0"/>
    <w:rsid w:val="00B11971"/>
    <w:rsid w:val="00B12061"/>
    <w:rsid w:val="00B14BE9"/>
    <w:rsid w:val="00B16A51"/>
    <w:rsid w:val="00B17F75"/>
    <w:rsid w:val="00B25D8B"/>
    <w:rsid w:val="00B315E9"/>
    <w:rsid w:val="00B34F26"/>
    <w:rsid w:val="00B4284E"/>
    <w:rsid w:val="00B44325"/>
    <w:rsid w:val="00B50565"/>
    <w:rsid w:val="00B50CD8"/>
    <w:rsid w:val="00B51D0C"/>
    <w:rsid w:val="00B5239F"/>
    <w:rsid w:val="00B53B4A"/>
    <w:rsid w:val="00B54028"/>
    <w:rsid w:val="00B57C4C"/>
    <w:rsid w:val="00B60528"/>
    <w:rsid w:val="00B62285"/>
    <w:rsid w:val="00B70BAD"/>
    <w:rsid w:val="00B71D00"/>
    <w:rsid w:val="00B72199"/>
    <w:rsid w:val="00B73A4D"/>
    <w:rsid w:val="00B73BB7"/>
    <w:rsid w:val="00B74041"/>
    <w:rsid w:val="00B7441D"/>
    <w:rsid w:val="00B75EB9"/>
    <w:rsid w:val="00B831A3"/>
    <w:rsid w:val="00B841A1"/>
    <w:rsid w:val="00B84236"/>
    <w:rsid w:val="00B84DA7"/>
    <w:rsid w:val="00B855ED"/>
    <w:rsid w:val="00B86053"/>
    <w:rsid w:val="00B87456"/>
    <w:rsid w:val="00B92132"/>
    <w:rsid w:val="00B92256"/>
    <w:rsid w:val="00B92A6D"/>
    <w:rsid w:val="00B948E0"/>
    <w:rsid w:val="00B94ADF"/>
    <w:rsid w:val="00B96510"/>
    <w:rsid w:val="00B968B9"/>
    <w:rsid w:val="00B97180"/>
    <w:rsid w:val="00BA089F"/>
    <w:rsid w:val="00BA13ED"/>
    <w:rsid w:val="00BA4376"/>
    <w:rsid w:val="00BA6717"/>
    <w:rsid w:val="00BA761E"/>
    <w:rsid w:val="00BB1642"/>
    <w:rsid w:val="00BB2EF7"/>
    <w:rsid w:val="00BC14B8"/>
    <w:rsid w:val="00BC22DA"/>
    <w:rsid w:val="00BC313E"/>
    <w:rsid w:val="00BC4BAC"/>
    <w:rsid w:val="00BC527B"/>
    <w:rsid w:val="00BC6390"/>
    <w:rsid w:val="00BD3478"/>
    <w:rsid w:val="00BD421A"/>
    <w:rsid w:val="00BD48B6"/>
    <w:rsid w:val="00BD65B7"/>
    <w:rsid w:val="00BE29B0"/>
    <w:rsid w:val="00BE3A94"/>
    <w:rsid w:val="00BF44DB"/>
    <w:rsid w:val="00BF7F10"/>
    <w:rsid w:val="00C055AD"/>
    <w:rsid w:val="00C0581E"/>
    <w:rsid w:val="00C06A9A"/>
    <w:rsid w:val="00C1330F"/>
    <w:rsid w:val="00C214B6"/>
    <w:rsid w:val="00C22521"/>
    <w:rsid w:val="00C24727"/>
    <w:rsid w:val="00C348A2"/>
    <w:rsid w:val="00C35B63"/>
    <w:rsid w:val="00C35EFC"/>
    <w:rsid w:val="00C41839"/>
    <w:rsid w:val="00C41858"/>
    <w:rsid w:val="00C427F7"/>
    <w:rsid w:val="00C44D51"/>
    <w:rsid w:val="00C4568F"/>
    <w:rsid w:val="00C4784D"/>
    <w:rsid w:val="00C47DA2"/>
    <w:rsid w:val="00C55097"/>
    <w:rsid w:val="00C6244D"/>
    <w:rsid w:val="00C63CAD"/>
    <w:rsid w:val="00C64088"/>
    <w:rsid w:val="00C6439D"/>
    <w:rsid w:val="00C6770F"/>
    <w:rsid w:val="00C72C9C"/>
    <w:rsid w:val="00C772B2"/>
    <w:rsid w:val="00C81823"/>
    <w:rsid w:val="00C81A0F"/>
    <w:rsid w:val="00C91BE8"/>
    <w:rsid w:val="00C92BF0"/>
    <w:rsid w:val="00C9359E"/>
    <w:rsid w:val="00C9618D"/>
    <w:rsid w:val="00C96264"/>
    <w:rsid w:val="00CA0F4A"/>
    <w:rsid w:val="00CA1229"/>
    <w:rsid w:val="00CA208E"/>
    <w:rsid w:val="00CA574A"/>
    <w:rsid w:val="00CB0846"/>
    <w:rsid w:val="00CB57D0"/>
    <w:rsid w:val="00CC2F96"/>
    <w:rsid w:val="00CC38FB"/>
    <w:rsid w:val="00CC4124"/>
    <w:rsid w:val="00CC7C69"/>
    <w:rsid w:val="00CD0EC1"/>
    <w:rsid w:val="00CD17CB"/>
    <w:rsid w:val="00CD321E"/>
    <w:rsid w:val="00CD3D13"/>
    <w:rsid w:val="00CD7052"/>
    <w:rsid w:val="00CD7C56"/>
    <w:rsid w:val="00CD7E2A"/>
    <w:rsid w:val="00CE0819"/>
    <w:rsid w:val="00CE3B48"/>
    <w:rsid w:val="00CE52AE"/>
    <w:rsid w:val="00CE52DB"/>
    <w:rsid w:val="00CF14D8"/>
    <w:rsid w:val="00CF53C2"/>
    <w:rsid w:val="00CF6C6D"/>
    <w:rsid w:val="00CF7CD2"/>
    <w:rsid w:val="00D00AB0"/>
    <w:rsid w:val="00D01A3B"/>
    <w:rsid w:val="00D02643"/>
    <w:rsid w:val="00D05350"/>
    <w:rsid w:val="00D05DDF"/>
    <w:rsid w:val="00D07422"/>
    <w:rsid w:val="00D11D6F"/>
    <w:rsid w:val="00D11DB0"/>
    <w:rsid w:val="00D137E6"/>
    <w:rsid w:val="00D1772E"/>
    <w:rsid w:val="00D2218F"/>
    <w:rsid w:val="00D239D4"/>
    <w:rsid w:val="00D24DBE"/>
    <w:rsid w:val="00D30A6D"/>
    <w:rsid w:val="00D343EE"/>
    <w:rsid w:val="00D347B6"/>
    <w:rsid w:val="00D40970"/>
    <w:rsid w:val="00D414C3"/>
    <w:rsid w:val="00D42472"/>
    <w:rsid w:val="00D504C3"/>
    <w:rsid w:val="00D514A3"/>
    <w:rsid w:val="00D5281C"/>
    <w:rsid w:val="00D56813"/>
    <w:rsid w:val="00D61BB6"/>
    <w:rsid w:val="00D626E5"/>
    <w:rsid w:val="00D627DF"/>
    <w:rsid w:val="00D62CFF"/>
    <w:rsid w:val="00D66713"/>
    <w:rsid w:val="00D67682"/>
    <w:rsid w:val="00D706C6"/>
    <w:rsid w:val="00D7252E"/>
    <w:rsid w:val="00D728D9"/>
    <w:rsid w:val="00D746FD"/>
    <w:rsid w:val="00D85707"/>
    <w:rsid w:val="00D8609A"/>
    <w:rsid w:val="00D86507"/>
    <w:rsid w:val="00D86DA2"/>
    <w:rsid w:val="00D93214"/>
    <w:rsid w:val="00D95737"/>
    <w:rsid w:val="00D96A9B"/>
    <w:rsid w:val="00DA463A"/>
    <w:rsid w:val="00DB268D"/>
    <w:rsid w:val="00DB46F7"/>
    <w:rsid w:val="00DB798B"/>
    <w:rsid w:val="00DC1F31"/>
    <w:rsid w:val="00DC2A22"/>
    <w:rsid w:val="00DD4310"/>
    <w:rsid w:val="00DD6C48"/>
    <w:rsid w:val="00DE2229"/>
    <w:rsid w:val="00DE2B82"/>
    <w:rsid w:val="00DE51C7"/>
    <w:rsid w:val="00DE7D39"/>
    <w:rsid w:val="00DF2730"/>
    <w:rsid w:val="00DF2E83"/>
    <w:rsid w:val="00DF4437"/>
    <w:rsid w:val="00E0452A"/>
    <w:rsid w:val="00E23335"/>
    <w:rsid w:val="00E24728"/>
    <w:rsid w:val="00E249D5"/>
    <w:rsid w:val="00E24C1E"/>
    <w:rsid w:val="00E24C5C"/>
    <w:rsid w:val="00E25E93"/>
    <w:rsid w:val="00E25F3F"/>
    <w:rsid w:val="00E30021"/>
    <w:rsid w:val="00E3181A"/>
    <w:rsid w:val="00E37177"/>
    <w:rsid w:val="00E40048"/>
    <w:rsid w:val="00E44990"/>
    <w:rsid w:val="00E45A38"/>
    <w:rsid w:val="00E5051F"/>
    <w:rsid w:val="00E50CF4"/>
    <w:rsid w:val="00E512F1"/>
    <w:rsid w:val="00E5235D"/>
    <w:rsid w:val="00E52D37"/>
    <w:rsid w:val="00E5416A"/>
    <w:rsid w:val="00E55104"/>
    <w:rsid w:val="00E604BB"/>
    <w:rsid w:val="00E61972"/>
    <w:rsid w:val="00E6401C"/>
    <w:rsid w:val="00E66D03"/>
    <w:rsid w:val="00E71F01"/>
    <w:rsid w:val="00E742C1"/>
    <w:rsid w:val="00E74EA1"/>
    <w:rsid w:val="00E75908"/>
    <w:rsid w:val="00E7702D"/>
    <w:rsid w:val="00E83094"/>
    <w:rsid w:val="00E87B39"/>
    <w:rsid w:val="00E9749B"/>
    <w:rsid w:val="00EA2897"/>
    <w:rsid w:val="00EA2A65"/>
    <w:rsid w:val="00EA2D63"/>
    <w:rsid w:val="00EA60C0"/>
    <w:rsid w:val="00EA6C18"/>
    <w:rsid w:val="00EB4F93"/>
    <w:rsid w:val="00EB592D"/>
    <w:rsid w:val="00EC426F"/>
    <w:rsid w:val="00EC43F5"/>
    <w:rsid w:val="00EC48FF"/>
    <w:rsid w:val="00ED3281"/>
    <w:rsid w:val="00ED3A48"/>
    <w:rsid w:val="00ED3B36"/>
    <w:rsid w:val="00ED3E45"/>
    <w:rsid w:val="00ED7596"/>
    <w:rsid w:val="00ED760E"/>
    <w:rsid w:val="00EE30EE"/>
    <w:rsid w:val="00EE3D95"/>
    <w:rsid w:val="00EE474F"/>
    <w:rsid w:val="00EE70FE"/>
    <w:rsid w:val="00EE7D76"/>
    <w:rsid w:val="00EF48D4"/>
    <w:rsid w:val="00EF5B4E"/>
    <w:rsid w:val="00F034F8"/>
    <w:rsid w:val="00F0607A"/>
    <w:rsid w:val="00F10760"/>
    <w:rsid w:val="00F10B9D"/>
    <w:rsid w:val="00F224F7"/>
    <w:rsid w:val="00F25790"/>
    <w:rsid w:val="00F26ECC"/>
    <w:rsid w:val="00F27075"/>
    <w:rsid w:val="00F27C94"/>
    <w:rsid w:val="00F33BC1"/>
    <w:rsid w:val="00F34970"/>
    <w:rsid w:val="00F46211"/>
    <w:rsid w:val="00F50D22"/>
    <w:rsid w:val="00F55CC6"/>
    <w:rsid w:val="00F57292"/>
    <w:rsid w:val="00F57360"/>
    <w:rsid w:val="00F61FE2"/>
    <w:rsid w:val="00F63208"/>
    <w:rsid w:val="00F658B6"/>
    <w:rsid w:val="00F662CB"/>
    <w:rsid w:val="00F67E34"/>
    <w:rsid w:val="00F80718"/>
    <w:rsid w:val="00F80918"/>
    <w:rsid w:val="00F817FC"/>
    <w:rsid w:val="00F879FF"/>
    <w:rsid w:val="00F94E01"/>
    <w:rsid w:val="00F97E8C"/>
    <w:rsid w:val="00FA1B00"/>
    <w:rsid w:val="00FB07F1"/>
    <w:rsid w:val="00FB08C0"/>
    <w:rsid w:val="00FB2404"/>
    <w:rsid w:val="00FB456D"/>
    <w:rsid w:val="00FC04A6"/>
    <w:rsid w:val="00FC0F30"/>
    <w:rsid w:val="00FC2E2F"/>
    <w:rsid w:val="00FD0109"/>
    <w:rsid w:val="00FD5BEB"/>
    <w:rsid w:val="00FD792D"/>
    <w:rsid w:val="00FD7E12"/>
    <w:rsid w:val="00FE0066"/>
    <w:rsid w:val="00FE447C"/>
    <w:rsid w:val="00FF2CA7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3D6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qFormat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spacing w:before="200" w:after="200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A367CC"/>
    <w:pPr>
      <w:tabs>
        <w:tab w:val="left" w:pos="720"/>
        <w:tab w:val="right" w:leader="dot" w:pos="9062"/>
      </w:tabs>
      <w:spacing w:after="100"/>
      <w:ind w:left="709" w:hanging="469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SRK4">
    <w:name w:val="SRK 4"/>
    <w:basedOn w:val="Nadpis4"/>
    <w:next w:val="Normlny"/>
    <w:autoRedefine/>
    <w:uiPriority w:val="99"/>
    <w:qFormat/>
    <w:rsid w:val="0003757B"/>
    <w:pPr>
      <w:jc w:val="both"/>
    </w:pPr>
    <w:rPr>
      <w:rFonts w:ascii="Times New Roman" w:eastAsia="Times New Roman" w:hAnsi="Times New Roman" w:cs="Times New Roman"/>
      <w:b w:val="0"/>
      <w:i w:val="0"/>
      <w:color w:val="1E4E9D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304A4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wspan1">
    <w:name w:val="awspan1"/>
    <w:basedOn w:val="Predvolenpsmoodseku"/>
    <w:rsid w:val="004B14F4"/>
    <w:rPr>
      <w:color w:val="000000"/>
    </w:rPr>
  </w:style>
  <w:style w:type="character" w:customStyle="1" w:styleId="Ukotveniepoznmkypodiarou">
    <w:name w:val="Ukotvenie poznámky pod čiarou"/>
    <w:rsid w:val="00280D2B"/>
    <w:rPr>
      <w:vertAlign w:val="superscript"/>
    </w:rPr>
  </w:style>
  <w:style w:type="character" w:customStyle="1" w:styleId="Znakyprepoznmkupodiarou">
    <w:name w:val="Znaky pre poznámku pod čiarou"/>
    <w:qFormat/>
    <w:rsid w:val="00280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8278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1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011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0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9918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6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168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7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797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1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731554">
          <w:marLeft w:val="255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9224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874845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925342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86518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131998">
                      <w:marLeft w:val="255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6868">
                      <w:marLeft w:val="255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8228254">
          <w:marLeft w:val="255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3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175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5214CA" w:rsidP="005214CA">
          <w:pPr>
            <w:pStyle w:val="A1DE1FAF9C3142D9B35DEB35D3F6137F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5214CA" w:rsidP="005214CA">
          <w:pPr>
            <w:pStyle w:val="A9F731F61A7042F186F5DB555D9179092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8B949C02102C48BB806712B08BA79A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1B8AF6-1AB3-4FCD-9A0D-AB5F2CDB7845}"/>
      </w:docPartPr>
      <w:docPartBody>
        <w:p w:rsidR="005214CA" w:rsidRDefault="005214CA" w:rsidP="005214CA">
          <w:pPr>
            <w:pStyle w:val="8B949C02102C48BB806712B08BA79ACC1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A4219D09901046338368609D5773AF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123685-DE09-4DA5-918D-05840144035D}"/>
      </w:docPartPr>
      <w:docPartBody>
        <w:p w:rsidR="005214CA" w:rsidRDefault="005214CA" w:rsidP="005214CA">
          <w:pPr>
            <w:pStyle w:val="A4219D09901046338368609D5773AFBF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0777B"/>
    <w:rsid w:val="000219E2"/>
    <w:rsid w:val="0004502D"/>
    <w:rsid w:val="00070575"/>
    <w:rsid w:val="000E30BC"/>
    <w:rsid w:val="00121A9D"/>
    <w:rsid w:val="001436DE"/>
    <w:rsid w:val="00161A33"/>
    <w:rsid w:val="00195BC2"/>
    <w:rsid w:val="001E2A72"/>
    <w:rsid w:val="00232EC0"/>
    <w:rsid w:val="00294812"/>
    <w:rsid w:val="002F414E"/>
    <w:rsid w:val="0032692F"/>
    <w:rsid w:val="00345B5B"/>
    <w:rsid w:val="003612A2"/>
    <w:rsid w:val="003878CD"/>
    <w:rsid w:val="003B7B5A"/>
    <w:rsid w:val="003D1736"/>
    <w:rsid w:val="003E58C3"/>
    <w:rsid w:val="003F0905"/>
    <w:rsid w:val="00433A7B"/>
    <w:rsid w:val="004427EA"/>
    <w:rsid w:val="004742E7"/>
    <w:rsid w:val="00485356"/>
    <w:rsid w:val="004A0CD0"/>
    <w:rsid w:val="004C2FC6"/>
    <w:rsid w:val="00500829"/>
    <w:rsid w:val="005214CA"/>
    <w:rsid w:val="00584BAB"/>
    <w:rsid w:val="00585B72"/>
    <w:rsid w:val="00587BE3"/>
    <w:rsid w:val="00590F6D"/>
    <w:rsid w:val="005D2394"/>
    <w:rsid w:val="005F454F"/>
    <w:rsid w:val="00602D1E"/>
    <w:rsid w:val="006063B7"/>
    <w:rsid w:val="00616C33"/>
    <w:rsid w:val="00640909"/>
    <w:rsid w:val="006837E2"/>
    <w:rsid w:val="00687B79"/>
    <w:rsid w:val="006A4858"/>
    <w:rsid w:val="006C2C78"/>
    <w:rsid w:val="006F7AB6"/>
    <w:rsid w:val="00724852"/>
    <w:rsid w:val="00733557"/>
    <w:rsid w:val="00737BD3"/>
    <w:rsid w:val="00741CF9"/>
    <w:rsid w:val="0078658E"/>
    <w:rsid w:val="007B474A"/>
    <w:rsid w:val="007C0CE5"/>
    <w:rsid w:val="007E560C"/>
    <w:rsid w:val="008225C7"/>
    <w:rsid w:val="00845353"/>
    <w:rsid w:val="0085402B"/>
    <w:rsid w:val="008732B4"/>
    <w:rsid w:val="008B6A7E"/>
    <w:rsid w:val="008D4A58"/>
    <w:rsid w:val="008D5566"/>
    <w:rsid w:val="008E2CA9"/>
    <w:rsid w:val="009349B9"/>
    <w:rsid w:val="009D1673"/>
    <w:rsid w:val="009D6663"/>
    <w:rsid w:val="00A06081"/>
    <w:rsid w:val="00A45DD7"/>
    <w:rsid w:val="00A52A4C"/>
    <w:rsid w:val="00A6022C"/>
    <w:rsid w:val="00A7766C"/>
    <w:rsid w:val="00A87D51"/>
    <w:rsid w:val="00A93B8A"/>
    <w:rsid w:val="00AF4D2B"/>
    <w:rsid w:val="00C05B00"/>
    <w:rsid w:val="00C05B0E"/>
    <w:rsid w:val="00C06E9E"/>
    <w:rsid w:val="00C16CB5"/>
    <w:rsid w:val="00C458D4"/>
    <w:rsid w:val="00C76A04"/>
    <w:rsid w:val="00CC51C5"/>
    <w:rsid w:val="00CE2D99"/>
    <w:rsid w:val="00D17B26"/>
    <w:rsid w:val="00D52593"/>
    <w:rsid w:val="00D64787"/>
    <w:rsid w:val="00D871C4"/>
    <w:rsid w:val="00D95E29"/>
    <w:rsid w:val="00DC298A"/>
    <w:rsid w:val="00DF1217"/>
    <w:rsid w:val="00E2485F"/>
    <w:rsid w:val="00E3251D"/>
    <w:rsid w:val="00E355F4"/>
    <w:rsid w:val="00E77E49"/>
    <w:rsid w:val="00F527D5"/>
    <w:rsid w:val="00F65AB9"/>
    <w:rsid w:val="00F92D19"/>
    <w:rsid w:val="00FB660B"/>
    <w:rsid w:val="00FF281F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D239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C438CDECBB774123926E36EC328124C81">
    <w:name w:val="C438CDECBB774123926E36EC328124C81"/>
    <w:rsid w:val="00A93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1">
    <w:name w:val="A1DE1FAF9C3142D9B35DEB35D3F6137F1"/>
    <w:rsid w:val="00A93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2C34084E1F4CE5A1739291D068FBF61">
    <w:name w:val="372C34084E1F4CE5A1739291D068FBF61"/>
    <w:rsid w:val="00A93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949C02102C48BB806712B08BA79ACC">
    <w:name w:val="8B949C02102C48BB806712B08BA79ACC"/>
    <w:rsid w:val="00A93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1">
    <w:name w:val="A9F731F61A7042F186F5DB555D9179091"/>
    <w:rsid w:val="00A93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E73669B88F4A4EA76D451AA8B9BF1B">
    <w:name w:val="3FE73669B88F4A4EA76D451AA8B9BF1B"/>
    <w:rsid w:val="00A93B8A"/>
  </w:style>
  <w:style w:type="paragraph" w:customStyle="1" w:styleId="A4219D09901046338368609D5773AFBF">
    <w:name w:val="A4219D09901046338368609D5773AFBF"/>
    <w:rsid w:val="00A93B8A"/>
  </w:style>
  <w:style w:type="paragraph" w:customStyle="1" w:styleId="A4219D09901046338368609D5773AFBF1">
    <w:name w:val="A4219D09901046338368609D5773AFBF1"/>
    <w:rsid w:val="00521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2">
    <w:name w:val="A1DE1FAF9C3142D9B35DEB35D3F6137F2"/>
    <w:rsid w:val="00521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2C34084E1F4CE5A1739291D068FBF62">
    <w:name w:val="372C34084E1F4CE5A1739291D068FBF62"/>
    <w:rsid w:val="00521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949C02102C48BB806712B08BA79ACC1">
    <w:name w:val="8B949C02102C48BB806712B08BA79ACC1"/>
    <w:rsid w:val="00521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2">
    <w:name w:val="A9F731F61A7042F186F5DB555D9179092"/>
    <w:rsid w:val="00521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785AF6005143A195B05B73E3AAD317">
    <w:name w:val="52785AF6005143A195B05B73E3AAD317"/>
    <w:rsid w:val="005D23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987B2-5088-407D-A987-FEC94D845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4768</Words>
  <Characters>27180</Characters>
  <Application>Microsoft Office Word</Application>
  <DocSecurity>0</DocSecurity>
  <Lines>226</Lines>
  <Paragraphs>63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2020-01-27T17:33:00Z</dcterms:created>
  <dcterms:modified xsi:type="dcterms:W3CDTF">2020-01-27T17:36:00Z</dcterms:modified>
</cp:coreProperties>
</file>